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68" w:type="dxa"/>
        <w:jc w:val="center"/>
        <w:tblLayout w:type="fixed"/>
        <w:tblLook w:val="04A0" w:firstRow="1" w:lastRow="0" w:firstColumn="1" w:lastColumn="0" w:noHBand="0" w:noVBand="1"/>
      </w:tblPr>
      <w:tblGrid>
        <w:gridCol w:w="3174"/>
        <w:gridCol w:w="5994"/>
      </w:tblGrid>
      <w:tr>
        <w:trPr>
          <w:jc w:val="center"/>
        </w:trPr>
        <w:tc>
          <w:tcPr>
            <w:tcW w:w="3175" w:type="dxa"/>
          </w:tcPr>
          <w:p>
            <w:pPr>
              <w:tabs>
                <w:tab w:val="left" w:pos="1388"/>
              </w:tabs>
              <w:jc w:val="center"/>
              <w:rPr>
                <w:rFonts w:ascii="Times New Roman" w:hAnsi="Times New Roman"/>
                <w:sz w:val="26"/>
                <w:szCs w:val="26"/>
              </w:rPr>
            </w:pPr>
            <w:r>
              <w:rPr>
                <w:rFonts w:ascii="Times New Roman" w:hAnsi="Times New Roman"/>
                <w:b/>
                <w:sz w:val="26"/>
                <w:szCs w:val="26"/>
              </w:rPr>
              <w:t>ỦY BAN NHÂN DÂN</w:t>
            </w:r>
          </w:p>
          <w:p>
            <w:pPr>
              <w:keepNext/>
              <w:jc w:val="center"/>
              <w:outlineLvl w:val="0"/>
              <w:rPr>
                <w:rFonts w:ascii="Times New Roman" w:hAnsi="Times New Roman"/>
                <w:b/>
                <w:sz w:val="26"/>
                <w:szCs w:val="26"/>
              </w:rPr>
            </w:pPr>
            <w:r>
              <w:rPr>
                <w:rFonts w:ascii="Times New Roman" w:hAnsi="Times New Roman"/>
                <w:b/>
                <w:sz w:val="26"/>
                <w:szCs w:val="26"/>
              </w:rPr>
              <w:t>TỈNH HÀ TĨNH</w:t>
            </w:r>
          </w:p>
          <w:p>
            <w:pPr>
              <w:jc w:val="center"/>
              <w:rPr>
                <w:rFonts w:ascii="Times New Roman" w:hAnsi="Times New Roman"/>
                <w:sz w:val="14"/>
                <w:szCs w:val="28"/>
              </w:rPr>
            </w:pPr>
            <w:r>
              <w:rPr>
                <w:rFonts w:ascii="Times New Roman" w:hAnsi="Times New Roman"/>
                <w:noProof/>
              </w:rPr>
              <mc:AlternateContent>
                <mc:Choice Requires="wps">
                  <w:drawing>
                    <wp:anchor distT="4294967295" distB="4294967295" distL="114300" distR="114300" simplePos="0" relativeHeight="251655680" behindDoc="0" locked="0" layoutInCell="1" allowOverlap="1">
                      <wp:simplePos x="0" y="0"/>
                      <wp:positionH relativeFrom="column">
                        <wp:posOffset>622300</wp:posOffset>
                      </wp:positionH>
                      <wp:positionV relativeFrom="paragraph">
                        <wp:posOffset>22860</wp:posOffset>
                      </wp:positionV>
                      <wp:extent cx="640080" cy="0"/>
                      <wp:effectExtent l="0" t="0" r="2667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2"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pt,1.8pt" to="99.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brrgEAAEcDAAAOAAAAZHJzL2Uyb0RvYy54bWysUsFu2zAMvQ/YPwi6L3aCtei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"/>
                  </w:pict>
                </mc:Fallback>
              </mc:AlternateContent>
            </w:r>
          </w:p>
          <w:p>
            <w:pPr>
              <w:spacing w:before="120"/>
              <w:jc w:val="center"/>
              <w:rPr>
                <w:rFonts w:ascii="Times New Roman" w:hAnsi="Times New Roman"/>
                <w:szCs w:val="28"/>
              </w:rPr>
            </w:pPr>
            <w:r>
              <w:rPr>
                <w:rFonts w:ascii="Times New Roman" w:hAnsi="Times New Roman"/>
                <w:sz w:val="26"/>
                <w:szCs w:val="28"/>
              </w:rPr>
              <w:t>Số:              /TTr-UBND</w:t>
            </w:r>
          </w:p>
        </w:tc>
        <w:tc>
          <w:tcPr>
            <w:tcW w:w="5997" w:type="dxa"/>
          </w:tcPr>
          <w:p>
            <w:pPr>
              <w:jc w:val="center"/>
              <w:rPr>
                <w:rFonts w:ascii="Times New Roman" w:hAnsi="Times New Roman"/>
                <w:sz w:val="26"/>
                <w:szCs w:val="26"/>
              </w:rPr>
            </w:pPr>
            <w:r>
              <w:rPr>
                <w:rFonts w:ascii="Times New Roman" w:hAnsi="Times New Roman"/>
                <w:b/>
                <w:szCs w:val="28"/>
              </w:rPr>
              <w:t xml:space="preserve">   </w:t>
            </w:r>
            <w:r>
              <w:rPr>
                <w:rFonts w:ascii="Times New Roman" w:hAnsi="Times New Roman"/>
                <w:b/>
                <w:sz w:val="26"/>
                <w:szCs w:val="26"/>
              </w:rPr>
              <w:t>CỘNG HÒA XÃ HỘI CHỦ NGHĨA VIỆT NAM</w:t>
            </w:r>
          </w:p>
          <w:p>
            <w:pPr>
              <w:jc w:val="center"/>
              <w:rPr>
                <w:rFonts w:ascii="Times New Roman" w:hAnsi="Times New Roman"/>
                <w:b/>
                <w:szCs w:val="28"/>
              </w:rPr>
            </w:pPr>
            <w:r>
              <w:rPr>
                <w:rFonts w:ascii="Times New Roman" w:hAnsi="Times New Roman"/>
                <w:b/>
                <w:szCs w:val="28"/>
              </w:rPr>
              <w:t xml:space="preserve">  Độc lập - Tự do - Hạnh phúc</w:t>
            </w:r>
          </w:p>
          <w:p>
            <w:pPr>
              <w:jc w:val="center"/>
              <w:rPr>
                <w:rFonts w:ascii="Times New Roman" w:hAnsi="Times New Roman"/>
                <w:szCs w:val="28"/>
              </w:rPr>
            </w:pPr>
            <w:r>
              <w:rPr>
                <w:rFonts w:ascii="Times New Roman" w:hAnsi="Times New Roman"/>
                <w:noProof/>
              </w:rPr>
              <mc:AlternateContent>
                <mc:Choice Requires="wps">
                  <w:drawing>
                    <wp:anchor distT="4294967295" distB="4294967295" distL="114300" distR="114300" simplePos="0" relativeHeight="251656704" behindDoc="0" locked="0" layoutInCell="1" allowOverlap="1">
                      <wp:simplePos x="0" y="0"/>
                      <wp:positionH relativeFrom="column">
                        <wp:posOffset>800735</wp:posOffset>
                      </wp:positionH>
                      <wp:positionV relativeFrom="paragraph">
                        <wp:posOffset>27940</wp:posOffset>
                      </wp:positionV>
                      <wp:extent cx="214757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2.2pt" to="232.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"/>
                  </w:pict>
                </mc:Fallback>
              </mc:AlternateContent>
            </w:r>
          </w:p>
          <w:p>
            <w:pPr>
              <w:keepNext/>
              <w:jc w:val="center"/>
              <w:outlineLvl w:val="1"/>
              <w:rPr>
                <w:rFonts w:ascii="Times New Roman" w:hAnsi="Times New Roman"/>
                <w:i/>
                <w:szCs w:val="28"/>
              </w:rPr>
            </w:pPr>
            <w:r>
              <w:rPr>
                <w:rFonts w:ascii="Times New Roman" w:hAnsi="Times New Roman"/>
                <w:i/>
                <w:szCs w:val="28"/>
              </w:rPr>
              <w:t xml:space="preserve">     Hà Tĩnh, ngày        tháng 5 năm 2025</w:t>
            </w:r>
          </w:p>
        </w:tc>
      </w:tr>
    </w:tbl>
    <w:p>
      <w:pPr>
        <w:rPr>
          <w:rFonts w:ascii="Times New Roman" w:hAnsi="Times New Roman"/>
          <w:b/>
          <w:sz w:val="24"/>
          <w:szCs w:val="28"/>
        </w:rPr>
      </w:pPr>
      <w:r>
        <w:rPr>
          <w:rFonts w:ascii="Times New Roman" w:hAnsi="Times New Roman"/>
          <w:b/>
          <w:noProof/>
          <w:szCs w:val="28"/>
        </w:rPr>
        <mc:AlternateContent>
          <mc:Choice Requires="wps">
            <w:drawing>
              <wp:anchor distT="0" distB="0" distL="114300" distR="114300" simplePos="0" relativeHeight="251659776" behindDoc="0" locked="0" layoutInCell="1" allowOverlap="1">
                <wp:simplePos x="0" y="0"/>
                <wp:positionH relativeFrom="column">
                  <wp:posOffset>165735</wp:posOffset>
                </wp:positionH>
                <wp:positionV relativeFrom="paragraph">
                  <wp:posOffset>15240</wp:posOffset>
                </wp:positionV>
                <wp:extent cx="1190625" cy="3905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190625" cy="39052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b/>
                                <w:bCs/>
                              </w:rPr>
                            </w:pPr>
                            <w:r>
                              <w:rPr>
                                <w:rFonts w:ascii="Times New Roman" w:hAnsi="Times New Roman"/>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4" o:spid="_x0000_s1026" style="position:absolute;margin-left:13.05pt;margin-top:1.2pt;width:93.75pt;height:3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" fillcolor="white [3201]" strokecolor="#f79646 [3209]" strokeweight="2pt">
                <v:textbox>
                  <w:txbxContent>
                    <w:p>
                      <w:pPr>
                        <w:jc w:val="center"/>
                        <w:rPr>
                          <w:rFonts w:ascii="Times New Roman" w:hAnsi="Times New Roman"/>
                          <w:b/>
                          <w:bCs/>
                        </w:rPr>
                      </w:pPr>
                      <w:r>
                        <w:rPr>
                          <w:rFonts w:ascii="Times New Roman" w:hAnsi="Times New Roman"/>
                          <w:b/>
                          <w:bCs/>
                        </w:rPr>
                        <w:t>DỰ THẢO</w:t>
                      </w:r>
                    </w:p>
                  </w:txbxContent>
                </v:textbox>
              </v:rect>
            </w:pict>
          </mc:Fallback>
        </mc:AlternateContent>
      </w:r>
      <w:r>
        <w:rPr>
          <w:rFonts w:ascii="Times New Roman" w:hAnsi="Times New Roman"/>
          <w:b/>
          <w:szCs w:val="28"/>
        </w:rPr>
        <w:t xml:space="preserve">              </w:t>
      </w:r>
    </w:p>
    <w:p>
      <w:pPr>
        <w:jc w:val="center"/>
        <w:rPr>
          <w:rFonts w:ascii="Times New Roman" w:hAnsi="Times New Roman"/>
          <w:b/>
          <w:sz w:val="18"/>
          <w:szCs w:val="28"/>
        </w:rPr>
      </w:pPr>
    </w:p>
    <w:p>
      <w:pPr>
        <w:jc w:val="center"/>
        <w:rPr>
          <w:rFonts w:ascii="Times New Roman" w:hAnsi="Times New Roman"/>
          <w:b/>
          <w:szCs w:val="28"/>
        </w:rPr>
      </w:pPr>
      <w:r>
        <w:rPr>
          <w:rFonts w:ascii="Times New Roman" w:hAnsi="Times New Roman"/>
          <w:b/>
          <w:szCs w:val="28"/>
        </w:rPr>
        <w:t>TỜ TRÌNH</w:t>
      </w:r>
    </w:p>
    <w:p>
      <w:pPr>
        <w:jc w:val="center"/>
        <w:rPr>
          <w:rFonts w:ascii="Times New Roman" w:hAnsi="Times New Roman"/>
          <w:b/>
          <w:color w:val="000000" w:themeColor="text1"/>
          <w:spacing w:val="3"/>
          <w:shd w:val="clear" w:color="auto" w:fill="FFFFFF"/>
        </w:rPr>
      </w:pPr>
      <w:r>
        <w:rPr>
          <w:rFonts w:ascii="Times New Roman" w:hAnsi="Times New Roman"/>
          <w:b/>
          <w:szCs w:val="28"/>
        </w:rPr>
        <w:t xml:space="preserve">Dự thảo Nghị quyết </w:t>
      </w:r>
      <w:r>
        <w:rPr>
          <w:rFonts w:ascii="Times New Roman" w:hAnsi="Times New Roman"/>
          <w:b/>
          <w:color w:val="000000" w:themeColor="text1"/>
          <w:spacing w:val="3"/>
          <w:shd w:val="clear" w:color="auto" w:fill="FFFFFF"/>
        </w:rPr>
        <w:t xml:space="preserve">Quy định một số mức chi sự nghiệp tài nguyên </w:t>
      </w:r>
    </w:p>
    <w:p>
      <w:pPr>
        <w:jc w:val="center"/>
        <w:rPr>
          <w:rFonts w:ascii="Times New Roman" w:hAnsi="Times New Roman"/>
          <w:b/>
          <w:color w:val="000000" w:themeColor="text1"/>
          <w:spacing w:val="3"/>
          <w:shd w:val="clear" w:color="auto" w:fill="FFFFFF"/>
        </w:rPr>
      </w:pPr>
      <w:r>
        <w:rPr>
          <w:rFonts w:ascii="Times New Roman" w:hAnsi="Times New Roman"/>
          <w:b/>
          <w:color w:val="000000" w:themeColor="text1"/>
          <w:spacing w:val="3"/>
          <w:shd w:val="clear" w:color="auto" w:fill="FFFFFF"/>
        </w:rPr>
        <w:t>và bảo vệ môi trường trên địa bàn tỉnh Hà Tĩnh</w:t>
      </w:r>
      <w:r>
        <w:rPr>
          <w:rFonts w:ascii="Times New Roman" w:hAnsi="Times New Roman"/>
          <w:b/>
          <w:szCs w:val="28"/>
        </w:rPr>
        <w:t xml:space="preserve">  </w:t>
      </w:r>
    </w:p>
    <w:p>
      <w:pPr>
        <w:jc w:val="center"/>
        <w:rPr>
          <w:rFonts w:ascii="Times New Roman" w:hAnsi="Times New Roman"/>
          <w:sz w:val="18"/>
          <w:szCs w:val="28"/>
        </w:rPr>
      </w:pPr>
      <w:r>
        <w:rPr>
          <w:rFonts w:ascii="Times New Roman" w:hAnsi="Times New Roman"/>
          <w:noProof/>
          <w:szCs w:val="28"/>
        </w:rPr>
        <mc:AlternateContent>
          <mc:Choice Requires="wps">
            <w:drawing>
              <wp:anchor distT="4294967295" distB="4294967295" distL="114300" distR="114300" simplePos="0" relativeHeight="251658752" behindDoc="0" locked="0" layoutInCell="1" allowOverlap="1">
                <wp:simplePos x="0" y="0"/>
                <wp:positionH relativeFrom="column">
                  <wp:posOffset>2033270</wp:posOffset>
                </wp:positionH>
                <wp:positionV relativeFrom="paragraph">
                  <wp:posOffset>26670</wp:posOffset>
                </wp:positionV>
                <wp:extent cx="1811655" cy="0"/>
                <wp:effectExtent l="0" t="0" r="1714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1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0.1pt,2.1pt" to="302.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"/>
            </w:pict>
          </mc:Fallback>
        </mc:AlternateContent>
      </w:r>
    </w:p>
    <w:p>
      <w:pPr>
        <w:spacing w:before="240"/>
        <w:jc w:val="center"/>
        <w:rPr>
          <w:rFonts w:ascii="Times New Roman" w:hAnsi="Times New Roman"/>
          <w:szCs w:val="28"/>
        </w:rPr>
      </w:pPr>
      <w:r>
        <w:rPr>
          <w:rFonts w:ascii="Times New Roman" w:hAnsi="Times New Roman"/>
          <w:szCs w:val="28"/>
        </w:rPr>
        <w:t xml:space="preserve"> Kính gửi: Hội đồng nhân dân tỉnh </w:t>
      </w:r>
    </w:p>
    <w:p>
      <w:pPr>
        <w:jc w:val="center"/>
        <w:rPr>
          <w:rFonts w:ascii="Times New Roman" w:hAnsi="Times New Roman"/>
          <w:b/>
          <w:sz w:val="15"/>
          <w:szCs w:val="27"/>
        </w:rPr>
      </w:pPr>
    </w:p>
    <w:p>
      <w:pPr>
        <w:spacing w:before="60" w:after="60"/>
        <w:ind w:firstLine="720"/>
        <w:jc w:val="both"/>
        <w:rPr>
          <w:rFonts w:ascii="Times New Roman" w:hAnsi="Times New Roman"/>
          <w:i/>
          <w:lang w:val="nl-NL"/>
        </w:rPr>
      </w:pPr>
      <w:r>
        <w:rPr>
          <w:rFonts w:ascii="Times New Roman" w:hAnsi="Times New Roman"/>
          <w:i/>
          <w:lang w:val="nl-NL"/>
        </w:rPr>
        <w:t xml:space="preserve">Căn cứ Luật Tổ chức chính quyền địa phương ngày 19/02/2025; </w:t>
      </w:r>
    </w:p>
    <w:p>
      <w:pPr>
        <w:spacing w:before="60" w:after="60"/>
        <w:ind w:firstLine="720"/>
        <w:jc w:val="both"/>
        <w:rPr>
          <w:rFonts w:ascii="Times New Roman" w:hAnsi="Times New Roman"/>
          <w:i/>
        </w:rPr>
      </w:pPr>
      <w:r>
        <w:rPr>
          <w:rFonts w:ascii="Times New Roman" w:hAnsi="Times New Roman"/>
          <w:i/>
        </w:rPr>
        <w:t>Căn cứ Luật Ban hành văn bản quy phạm pháp luật ngày 19/02/2025;</w:t>
      </w:r>
    </w:p>
    <w:p>
      <w:pPr>
        <w:spacing w:before="60" w:after="60"/>
        <w:ind w:firstLine="720"/>
        <w:jc w:val="both"/>
        <w:rPr>
          <w:rFonts w:ascii="Times New Roman" w:hAnsi="Times New Roman"/>
          <w:i/>
        </w:rPr>
      </w:pPr>
      <w:r>
        <w:rPr>
          <w:rFonts w:ascii="Times New Roman" w:hAnsi="Times New Roman"/>
          <w:i/>
          <w:lang w:val="vi-VN"/>
        </w:rPr>
        <w:t>Căn cứ Luật Ngân sách Nhà nước ngày 25/6/2015;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29/11/2024;</w:t>
      </w:r>
    </w:p>
    <w:p>
      <w:pPr>
        <w:spacing w:before="120"/>
        <w:ind w:firstLine="720"/>
        <w:jc w:val="both"/>
        <w:rPr>
          <w:rFonts w:ascii="Times New Roman" w:eastAsia="Calibri" w:hAnsi="Times New Roman"/>
          <w:i/>
          <w:spacing w:val="-2"/>
          <w:szCs w:val="28"/>
        </w:rPr>
      </w:pPr>
      <w:r>
        <w:rPr>
          <w:rFonts w:ascii="Times New Roman" w:eastAsia="Calibri" w:hAnsi="Times New Roman"/>
          <w:i/>
          <w:spacing w:val="-2"/>
          <w:szCs w:val="28"/>
        </w:rPr>
        <w:t>Căn cứ các Nghị định của Chính phủ: số 78/2025/NĐ-CP ngày 01 tháng 4 năm 2025 quy định chi tiết một số điều và biện pháp thi hành Luật ban hành văn bản quy phạm pháp luật; số 163/2016/NĐ-CP ngày 21 tháng 12 năm 2016 quy định chi tiết thi hành một số điều của Luật Ngân sách nhà nước;</w:t>
      </w:r>
    </w:p>
    <w:p>
      <w:pPr>
        <w:spacing w:before="120" w:after="120" w:line="320" w:lineRule="exact"/>
        <w:ind w:firstLine="567"/>
        <w:jc w:val="both"/>
        <w:rPr>
          <w:rFonts w:ascii="Times New Roman" w:hAnsi="Times New Roman"/>
          <w:i/>
          <w:iCs/>
          <w:szCs w:val="28"/>
          <w:shd w:val="clear" w:color="auto" w:fill="FFFFFF"/>
        </w:rPr>
      </w:pPr>
      <w:r>
        <w:rPr>
          <w:rFonts w:ascii="Times New Roman" w:hAnsi="Times New Roman"/>
          <w:i/>
        </w:rPr>
        <w:t>Căn cứ c</w:t>
      </w:r>
      <w:r>
        <w:rPr>
          <w:rFonts w:ascii="Times New Roman" w:hAnsi="Times New Roman"/>
          <w:i/>
          <w:iCs/>
          <w:szCs w:val="28"/>
          <w:shd w:val="clear" w:color="auto" w:fill="FFFFFF"/>
        </w:rPr>
        <w:t xml:space="preserve">ác Thông tư của Bộ Tài chính: số 136/2017/TT-BTC ngày 22 tháng 12 năm 2017 </w:t>
      </w:r>
      <w:r>
        <w:rPr>
          <w:rFonts w:ascii="Times New Roman" w:hAnsi="Times New Roman"/>
          <w:i/>
          <w:szCs w:val="28"/>
          <w:shd w:val="clear" w:color="auto" w:fill="FFFFFF"/>
        </w:rPr>
        <w:t xml:space="preserve">quy định lập, quản lý, sử dụng kinh phí chi hoạt động kinh tế đối với các nhiệm vụ chi về tài nguyên môi trường; số 02/2017/TT-BTC ngày 06 tháng 01 năm 2017 hướng dẫn quản lý kinh phí sự nghiệp bảo </w:t>
      </w:r>
      <w:r>
        <w:rPr>
          <w:rFonts w:ascii="Times New Roman" w:hAnsi="Times New Roman"/>
          <w:i/>
          <w:iCs/>
          <w:szCs w:val="28"/>
          <w:shd w:val="clear" w:color="auto" w:fill="FFFFFF"/>
        </w:rPr>
        <w:t>vệ môi trường</w:t>
      </w:r>
      <w:r>
        <w:rPr>
          <w:rFonts w:ascii="Times New Roman" w:hAnsi="Times New Roman"/>
          <w:i/>
          <w:szCs w:val="28"/>
          <w:shd w:val="clear" w:color="auto" w:fill="FFFFFF"/>
        </w:rPr>
        <w:t>; số 31/2023/TT-BTC ngày 25/5/2023 sửa đổi, bổ sung một số điều của Thông tư số 02/2017/TT-BTC ngày 06 tháng 01 năm 2017 của Bộ trưởng Bộ Tài chính hướng dẫn quản lý kinh phí sự nghiệp bảo vệ môi trường; số 94/2024/TT-BTC ngày 31 tháng 12 năm 2024 sửa đổi, bổ sung một số điều của Thông tư số </w:t>
      </w:r>
      <w:hyperlink r:id="rId7" w:tgtFrame="_blank" w:tooltip="Thông tư 02/2017/TT-BTC" w:history="1">
        <w:r>
          <w:rPr>
            <w:rFonts w:ascii="Times New Roman" w:hAnsi="Times New Roman"/>
            <w:i/>
            <w:szCs w:val="28"/>
            <w:shd w:val="clear" w:color="auto" w:fill="FFFFFF"/>
          </w:rPr>
          <w:t>02/2017/TT-</w:t>
        </w:r>
      </w:hyperlink>
      <w:r>
        <w:rPr>
          <w:rFonts w:ascii="Times New Roman" w:hAnsi="Times New Roman"/>
          <w:i/>
          <w:szCs w:val="28"/>
        </w:rPr>
        <w:t>BTC</w:t>
      </w:r>
      <w:r>
        <w:rPr>
          <w:rFonts w:ascii="Times New Roman" w:hAnsi="Times New Roman"/>
          <w:i/>
          <w:szCs w:val="28"/>
          <w:shd w:val="clear" w:color="auto" w:fill="FFFFFF"/>
        </w:rPr>
        <w:t xml:space="preserve"> ngày 06 tháng 01 năm 2017 của Bộ trưởng Bộ Tài chính hướng dẫn quản lý kinh phí sự nghiệp bảo </w:t>
      </w:r>
      <w:r>
        <w:rPr>
          <w:rFonts w:ascii="Times New Roman" w:hAnsi="Times New Roman"/>
          <w:i/>
          <w:iCs/>
          <w:szCs w:val="28"/>
          <w:shd w:val="clear" w:color="auto" w:fill="FFFFFF"/>
        </w:rPr>
        <w:t>vệ môi trường;</w:t>
      </w:r>
    </w:p>
    <w:p>
      <w:pPr>
        <w:spacing w:before="120" w:after="120" w:line="320" w:lineRule="exact"/>
        <w:ind w:firstLine="567"/>
        <w:jc w:val="both"/>
        <w:rPr>
          <w:rFonts w:ascii="Times New Roman" w:hAnsi="Times New Roman"/>
          <w:i/>
          <w:iCs/>
          <w:szCs w:val="28"/>
          <w:shd w:val="clear" w:color="auto" w:fill="FFFFFF"/>
        </w:rPr>
      </w:pPr>
      <w:r>
        <w:rPr>
          <w:rFonts w:ascii="Times New Roman" w:hAnsi="Times New Roman"/>
          <w:i/>
          <w:iCs/>
          <w:szCs w:val="28"/>
          <w:shd w:val="clear" w:color="auto" w:fill="FFFFFF"/>
        </w:rPr>
        <w:t>Căn cứ Văn bản số 210/HĐND-KTNS ngày 22/5/2025 của Hội đồng nhân dân tỉnh về việc áp dụng trình tự, thủ tục rút gọn và đăng ký xây dựng Nghị quyết quy phạm pháp luật;</w:t>
      </w:r>
    </w:p>
    <w:p>
      <w:pPr>
        <w:spacing w:before="120"/>
        <w:ind w:firstLine="720"/>
        <w:jc w:val="both"/>
        <w:rPr>
          <w:rFonts w:ascii="Times New Roman" w:hAnsi="Times New Roman"/>
          <w:spacing w:val="-2"/>
          <w:lang w:val="nl-NL"/>
        </w:rPr>
      </w:pPr>
      <w:r>
        <w:rPr>
          <w:rFonts w:ascii="Times New Roman" w:hAnsi="Times New Roman"/>
          <w:spacing w:val="-2"/>
          <w:lang w:val="nl-NL"/>
        </w:rPr>
        <w:t>Trên cơ sở báo cáo, đề nghị của Sở Nông nghiệp và Môi trường tại Tờ trình số ....../TTr-SNNMT ngày .../5/2025</w:t>
      </w:r>
      <w:r>
        <w:rPr>
          <w:rFonts w:ascii="Times New Roman" w:hAnsi="Times New Roman"/>
          <w:iCs/>
          <w:spacing w:val="-2"/>
        </w:rPr>
        <w:t xml:space="preserve">; </w:t>
      </w:r>
      <w:r>
        <w:rPr>
          <w:rFonts w:ascii="Times New Roman" w:hAnsi="Times New Roman"/>
          <w:spacing w:val="-2"/>
          <w:lang w:val="nl-NL"/>
        </w:rPr>
        <w:t xml:space="preserve">kết luận của Ban Thường vụ Đảng ủy UBND tỉnh tại cuộc họp ngày .../.../2025 (Thông báo số ....-TB/ĐU, ngày .../.../2025); kết luận của UBND tỉnh tại cuộc họp ngày ..../..../2025 (Thông báo số ...../TB-UBND ngày ..../..../2025); ý kiến của Thường trực Tỉnh ủy (Thông báo số ....-TB/TU ngày ..../..../2025), Ban Thường vụ Tỉnh ủy (Kết luận số ....-KL/TU ngày ..../..../2025), </w:t>
      </w:r>
      <w:r>
        <w:rPr>
          <w:rFonts w:ascii="Times New Roman" w:hAnsi="Times New Roman"/>
          <w:spacing w:val="-2"/>
          <w:lang w:val="nl-NL"/>
        </w:rPr>
        <w:lastRenderedPageBreak/>
        <w:t>Ban Chấp hành Đảng bộ tỉnh (Kết luận số .....-KL/TU ngày ..../..../2025; Uỷ ban nhân dân tỉnh báo cáo, đề xuất Hội đồng nhân dân tỉnh, như sau:</w:t>
      </w:r>
    </w:p>
    <w:p>
      <w:pPr>
        <w:widowControl w:val="0"/>
        <w:spacing w:before="100"/>
        <w:ind w:firstLine="709"/>
        <w:jc w:val="both"/>
        <w:rPr>
          <w:rFonts w:ascii="Times New Roman" w:hAnsi="Times New Roman"/>
          <w:szCs w:val="28"/>
          <w:lang w:val="en-GB" w:eastAsia="en-GB"/>
        </w:rPr>
      </w:pPr>
      <w:r>
        <w:rPr>
          <w:rFonts w:ascii="Times New Roman" w:hAnsi="Times New Roman"/>
          <w:b/>
          <w:bCs/>
          <w:szCs w:val="28"/>
          <w:shd w:val="clear" w:color="auto" w:fill="FFFFFF"/>
          <w:lang w:val="en-GB" w:eastAsia="vi-VN"/>
        </w:rPr>
        <w:tab/>
        <w:t>I. SỰ CẦN THIẾT BAN HÀNH NGHỊ QUYẾT</w:t>
      </w:r>
    </w:p>
    <w:p>
      <w:pPr>
        <w:spacing w:before="120" w:after="120"/>
        <w:ind w:firstLine="720"/>
        <w:jc w:val="both"/>
        <w:rPr>
          <w:rFonts w:ascii="Times New Roman" w:hAnsi="Times New Roman"/>
          <w:b/>
          <w:bCs/>
          <w:spacing w:val="-4"/>
          <w:szCs w:val="28"/>
        </w:rPr>
      </w:pPr>
      <w:bookmarkStart w:id="0" w:name="_Hlk198046305"/>
      <w:r>
        <w:rPr>
          <w:rFonts w:ascii="Times New Roman" w:hAnsi="Times New Roman"/>
          <w:b/>
          <w:bCs/>
          <w:spacing w:val="-4"/>
          <w:szCs w:val="28"/>
        </w:rPr>
        <w:t>1. Cơ sở pháp lý</w:t>
      </w:r>
    </w:p>
    <w:p>
      <w:pPr>
        <w:spacing w:before="120" w:after="120" w:line="320" w:lineRule="exact"/>
        <w:ind w:firstLine="567"/>
        <w:jc w:val="both"/>
        <w:rPr>
          <w:rFonts w:ascii="Times New Roman" w:hAnsi="Times New Roman"/>
          <w:szCs w:val="28"/>
          <w:shd w:val="clear" w:color="auto" w:fill="FFFFFF"/>
        </w:rPr>
      </w:pPr>
      <w:bookmarkStart w:id="1" w:name="_Hlk199425917"/>
      <w:r>
        <w:rPr>
          <w:rFonts w:ascii="Times New Roman" w:hAnsi="Times New Roman"/>
          <w:i/>
        </w:rPr>
        <w:t>Căn cứ c</w:t>
      </w:r>
      <w:r>
        <w:rPr>
          <w:rFonts w:ascii="Times New Roman" w:hAnsi="Times New Roman"/>
          <w:i/>
          <w:iCs/>
          <w:szCs w:val="28"/>
          <w:shd w:val="clear" w:color="auto" w:fill="FFFFFF"/>
        </w:rPr>
        <w:t xml:space="preserve">ác Thông tư của Bộ Tài chính: số 136/2017/TT-BTC ngày 22/12/2017 </w:t>
      </w:r>
      <w:r>
        <w:rPr>
          <w:rFonts w:ascii="Times New Roman" w:hAnsi="Times New Roman"/>
          <w:i/>
          <w:szCs w:val="28"/>
          <w:shd w:val="clear" w:color="auto" w:fill="FFFFFF"/>
        </w:rPr>
        <w:t xml:space="preserve">quy định lập, quản lý, sử dụng kinh phí chi hoạt động kinh tế đối với các nhiệm vụ chi về tài nguyên môi trường; số 02/2017/TT-BTC ngày 06/01/2017 hướng dẫn quản lý kinh phí sự nghiệp bảo </w:t>
      </w:r>
      <w:r>
        <w:rPr>
          <w:rFonts w:ascii="Times New Roman" w:hAnsi="Times New Roman"/>
          <w:i/>
          <w:iCs/>
          <w:szCs w:val="28"/>
          <w:shd w:val="clear" w:color="auto" w:fill="FFFFFF"/>
        </w:rPr>
        <w:t>vệ môi trường</w:t>
      </w:r>
      <w:r>
        <w:rPr>
          <w:rFonts w:ascii="Times New Roman" w:hAnsi="Times New Roman"/>
          <w:i/>
          <w:szCs w:val="28"/>
          <w:shd w:val="clear" w:color="auto" w:fill="FFFFFF"/>
        </w:rPr>
        <w:t>; số 31/2023/TT-BTC ngày 25/5/2023 sửa đổi, bổ sung một số điều của Thông tư số 02/2017/TT-BTC ngày 06 tháng 01 năm 2017 của Bộ trưởng Bộ Tài chính hướng dẫn quản lý kinh phí sự nghiệp bảo vệ môi trường; số 94/2024/TT-BTC ngày 31 tháng 12 năm 2024 sửa đổi, bổ sung một số điều của Thông tư số </w:t>
      </w:r>
      <w:hyperlink r:id="rId8" w:tgtFrame="_blank" w:tooltip="Thông tư 02/2017/TT-BTC" w:history="1">
        <w:r>
          <w:rPr>
            <w:rFonts w:ascii="Times New Roman" w:hAnsi="Times New Roman"/>
            <w:i/>
            <w:szCs w:val="28"/>
            <w:shd w:val="clear" w:color="auto" w:fill="FFFFFF"/>
          </w:rPr>
          <w:t>02/2017/TT-</w:t>
        </w:r>
      </w:hyperlink>
      <w:r>
        <w:rPr>
          <w:rFonts w:ascii="Times New Roman" w:hAnsi="Times New Roman"/>
          <w:i/>
          <w:szCs w:val="28"/>
        </w:rPr>
        <w:t>BTC</w:t>
      </w:r>
      <w:r>
        <w:rPr>
          <w:rFonts w:ascii="Times New Roman" w:hAnsi="Times New Roman"/>
          <w:i/>
          <w:szCs w:val="28"/>
          <w:shd w:val="clear" w:color="auto" w:fill="FFFFFF"/>
        </w:rPr>
        <w:t xml:space="preserve"> ngày 06 tháng 01 năm 2017 của Bộ trưởng Bộ Tài chính hướng dẫn quản lý kinh phí sự nghiệp bảo </w:t>
      </w:r>
      <w:r>
        <w:rPr>
          <w:rFonts w:ascii="Times New Roman" w:hAnsi="Times New Roman"/>
          <w:i/>
          <w:iCs/>
          <w:szCs w:val="28"/>
          <w:shd w:val="clear" w:color="auto" w:fill="FFFFFF"/>
        </w:rPr>
        <w:t xml:space="preserve">vệ môi trường; </w:t>
      </w:r>
      <w:r>
        <w:rPr>
          <w:rFonts w:ascii="Times New Roman" w:hAnsi="Times New Roman"/>
          <w:szCs w:val="28"/>
          <w:shd w:val="clear" w:color="auto" w:fill="FFFFFF"/>
        </w:rPr>
        <w:t>theo đó:</w:t>
      </w:r>
    </w:p>
    <w:p>
      <w:pPr>
        <w:spacing w:before="120" w:after="120" w:line="320" w:lineRule="exact"/>
        <w:ind w:firstLine="567"/>
        <w:jc w:val="both"/>
        <w:rPr>
          <w:rStyle w:val="fontstyle21"/>
        </w:rPr>
      </w:pPr>
      <w:r>
        <w:rPr>
          <w:rStyle w:val="fontstyle01"/>
        </w:rPr>
        <w:t>- Tại mục II.3 Phụ lục 04 ban hành kèm theo Thông tư số</w:t>
      </w:r>
      <w:r>
        <w:rPr>
          <w:rFonts w:ascii="Times New Roman" w:hAnsi="Times New Roman"/>
          <w:color w:val="000000"/>
          <w:szCs w:val="28"/>
        </w:rPr>
        <w:br/>
      </w:r>
      <w:r>
        <w:rPr>
          <w:rStyle w:val="fontstyle01"/>
        </w:rPr>
        <w:t>136/2017/TT-BTC ngày 22/12/2017 của Bộ Tài chính quy định lập,</w:t>
      </w:r>
      <w:r>
        <w:rPr>
          <w:rFonts w:ascii="Times New Roman" w:hAnsi="Times New Roman"/>
          <w:color w:val="000000"/>
          <w:szCs w:val="28"/>
        </w:rPr>
        <w:br/>
      </w:r>
      <w:r>
        <w:rPr>
          <w:rStyle w:val="fontstyle01"/>
        </w:rPr>
        <w:t>quản lý, sử dụng kinh phí chi hoạt động kinh tế đối với các nhiệm vụ chi về tài</w:t>
      </w:r>
      <w:r>
        <w:rPr>
          <w:rFonts w:ascii="Times New Roman" w:hAnsi="Times New Roman"/>
          <w:color w:val="000000"/>
          <w:szCs w:val="28"/>
        </w:rPr>
        <w:br/>
      </w:r>
      <w:r>
        <w:rPr>
          <w:rStyle w:val="fontstyle01"/>
        </w:rPr>
        <w:t xml:space="preserve">nguyên môi trường quy định </w:t>
      </w:r>
      <w:r>
        <w:rPr>
          <w:rStyle w:val="fontstyle21"/>
        </w:rPr>
        <w:t>“* Đối với nhiệm vụ chi của ngân sách địa phương, căn cứ vào tình hình thực tế thực hiện nhiệm vụ, dự án và khả năng của ngân sách địa phương, Hội đồng nhân dân cấp tỉnh, Chủ tịch Ủy ban nhân dân cấp tỉnh theo</w:t>
      </w:r>
      <w:r>
        <w:rPr>
          <w:rFonts w:ascii="Times New Roman" w:hAnsi="Times New Roman"/>
          <w:i/>
          <w:iCs/>
          <w:color w:val="000000"/>
          <w:szCs w:val="28"/>
        </w:rPr>
        <w:br/>
      </w:r>
      <w:r>
        <w:rPr>
          <w:rStyle w:val="fontstyle21"/>
        </w:rPr>
        <w:t>thẩm quyền quy định tại Luật Ngân sách nhà nước, quy định một số mức chi cho</w:t>
      </w:r>
      <w:r>
        <w:rPr>
          <w:rFonts w:ascii="Times New Roman" w:hAnsi="Times New Roman"/>
          <w:i/>
          <w:iCs/>
          <w:color w:val="000000"/>
          <w:szCs w:val="28"/>
        </w:rPr>
        <w:br/>
      </w:r>
      <w:r>
        <w:rPr>
          <w:rStyle w:val="fontstyle21"/>
        </w:rPr>
        <w:t>phù hợp, nhưng không vượt quá tỷ lệ chi phí quản lý chung quy định trên đây.”</w:t>
      </w:r>
    </w:p>
    <w:p>
      <w:pPr>
        <w:spacing w:before="120" w:after="120" w:line="320" w:lineRule="exact"/>
        <w:ind w:firstLine="567"/>
        <w:jc w:val="both"/>
        <w:rPr>
          <w:rStyle w:val="fontstyle21"/>
        </w:rPr>
      </w:pPr>
      <w:r>
        <w:rPr>
          <w:rStyle w:val="fontstyle01"/>
        </w:rPr>
        <w:t>- Tại Phụ lục 06 ban hành kèm theo Thông tư số</w:t>
      </w:r>
      <w:r>
        <w:rPr>
          <w:rFonts w:ascii="Times New Roman" w:hAnsi="Times New Roman"/>
          <w:color w:val="000000"/>
          <w:szCs w:val="28"/>
        </w:rPr>
        <w:br/>
      </w:r>
      <w:r>
        <w:rPr>
          <w:rStyle w:val="fontstyle01"/>
        </w:rPr>
        <w:t>136/2017/TT-BTC ngày 22/12/2017 của Bộ Tài chính quy định lập,</w:t>
      </w:r>
      <w:r>
        <w:rPr>
          <w:rFonts w:ascii="Times New Roman" w:hAnsi="Times New Roman"/>
          <w:color w:val="000000"/>
          <w:szCs w:val="28"/>
        </w:rPr>
        <w:br/>
      </w:r>
      <w:r>
        <w:rPr>
          <w:rStyle w:val="fontstyle01"/>
        </w:rPr>
        <w:t>quản lý, sử dụng kinh phí chi hoạt động kinh tế đối với các nhiệm vụ chi về tài</w:t>
      </w:r>
      <w:r>
        <w:rPr>
          <w:rFonts w:ascii="Times New Roman" w:hAnsi="Times New Roman"/>
          <w:color w:val="000000"/>
          <w:szCs w:val="28"/>
        </w:rPr>
        <w:br/>
      </w:r>
      <w:r>
        <w:rPr>
          <w:rStyle w:val="fontstyle01"/>
        </w:rPr>
        <w:t xml:space="preserve">nguyên môi trường quy định </w:t>
      </w:r>
      <w:r>
        <w:rPr>
          <w:rStyle w:val="fontstyle21"/>
        </w:rPr>
        <w:t>“Mức chi quy định trên đây là mức chi tối đa, tùy điều kiện thực tế và khả năng của ngân sách địa phương, Hội đồng nhân dân cấp tỉnh, Chủ tịch Ủy ban nhân dân cấp tỉnh theo thẩm quyền quy định mức chi cụ thể để thực hiện ở địa phương”;</w:t>
      </w:r>
    </w:p>
    <w:bookmarkEnd w:id="1"/>
    <w:p>
      <w:pPr>
        <w:spacing w:before="120" w:after="120"/>
        <w:ind w:firstLine="720"/>
        <w:jc w:val="both"/>
        <w:rPr>
          <w:rFonts w:ascii="Times New Roman" w:hAnsi="Times New Roman"/>
          <w:b/>
          <w:bCs/>
          <w:spacing w:val="-4"/>
          <w:szCs w:val="28"/>
        </w:rPr>
      </w:pPr>
      <w:r>
        <w:rPr>
          <w:rFonts w:ascii="Times New Roman" w:hAnsi="Times New Roman"/>
          <w:color w:val="000000"/>
          <w:szCs w:val="28"/>
        </w:rPr>
        <w:t xml:space="preserve">- Tại Điều 1 Thông tư </w:t>
      </w:r>
      <w:r>
        <w:rPr>
          <w:rFonts w:ascii="Times New Roman" w:hAnsi="Times New Roman"/>
          <w:i/>
          <w:iCs/>
          <w:color w:val="000000"/>
          <w:szCs w:val="28"/>
        </w:rPr>
        <w:t>s</w:t>
      </w:r>
      <w:r>
        <w:rPr>
          <w:rFonts w:ascii="Times New Roman" w:hAnsi="Times New Roman"/>
          <w:color w:val="000000"/>
          <w:szCs w:val="28"/>
        </w:rPr>
        <w:t>ố 94/2024/TT-BTC ngày 31/12/ 2024 sửa đổi, bổ sung một số điều của Thông tư số 02/2017/TT-BTC ngày</w:t>
      </w:r>
      <w:r>
        <w:rPr>
          <w:rFonts w:ascii="Times New Roman" w:hAnsi="Times New Roman"/>
          <w:color w:val="000000"/>
          <w:szCs w:val="28"/>
        </w:rPr>
        <w:br/>
        <w:t>06/01/2017 của Bộ trưởng Bộ Tài chính hướng dẫn quản lý kinh phí</w:t>
      </w:r>
      <w:r>
        <w:rPr>
          <w:rFonts w:ascii="Times New Roman" w:hAnsi="Times New Roman"/>
          <w:color w:val="000000"/>
          <w:szCs w:val="28"/>
        </w:rPr>
        <w:br/>
        <w:t xml:space="preserve">sự nghiệp bảo vệ môi trường quy định </w:t>
      </w:r>
      <w:r>
        <w:rPr>
          <w:rFonts w:ascii="Times New Roman" w:hAnsi="Times New Roman"/>
          <w:i/>
          <w:iCs/>
          <w:color w:val="000000"/>
          <w:szCs w:val="28"/>
        </w:rPr>
        <w:t>“2. Thông tư này hướng dẫn cụ thể thêm một số mức chi (theo Phụ lục 01 đính kèm). Mức chi quy định tại Phụ lục 01 kèm theo Thông tư này là mức chi tối đa, căn cứ vào tình hình thực tế, khả năng của ngân sách địa phương, Ủy ban nhân dân cấp tỉnh trình Hội đồng nhân dân cấp tỉnh quyết định mức chi cụ thể để thực hiện tại địa phương.”</w:t>
      </w:r>
    </w:p>
    <w:p>
      <w:pPr>
        <w:spacing w:before="120" w:after="120"/>
        <w:ind w:firstLine="720"/>
        <w:jc w:val="both"/>
        <w:rPr>
          <w:rFonts w:ascii="Times New Roman" w:hAnsi="Times New Roman"/>
          <w:b/>
          <w:bCs/>
          <w:spacing w:val="-4"/>
          <w:szCs w:val="28"/>
        </w:rPr>
      </w:pPr>
      <w:r>
        <w:rPr>
          <w:rFonts w:ascii="Times New Roman" w:hAnsi="Times New Roman"/>
          <w:b/>
          <w:bCs/>
          <w:spacing w:val="-4"/>
          <w:szCs w:val="28"/>
        </w:rPr>
        <w:t>2. Cơ sở thực tiễn</w:t>
      </w:r>
    </w:p>
    <w:bookmarkEnd w:id="0"/>
    <w:p>
      <w:pPr>
        <w:widowControl w:val="0"/>
        <w:tabs>
          <w:tab w:val="left" w:pos="0"/>
          <w:tab w:val="left" w:pos="993"/>
        </w:tabs>
        <w:spacing w:before="120"/>
        <w:ind w:firstLine="709"/>
        <w:jc w:val="both"/>
        <w:rPr>
          <w:rFonts w:ascii="Times New Roman" w:hAnsi="Times New Roman"/>
          <w:color w:val="000000"/>
          <w:szCs w:val="28"/>
        </w:rPr>
      </w:pPr>
      <w:r>
        <w:rPr>
          <w:rFonts w:ascii="Times New Roman" w:hAnsi="Times New Roman"/>
          <w:color w:val="000000"/>
          <w:szCs w:val="28"/>
        </w:rPr>
        <w:t>Để đảm bảo quy định trong việc lập dự toán, quản lý, sử dụng kinh phí ngân</w:t>
      </w:r>
      <w:r>
        <w:rPr>
          <w:rFonts w:ascii="Times New Roman" w:hAnsi="Times New Roman"/>
          <w:color w:val="000000"/>
          <w:szCs w:val="28"/>
        </w:rPr>
        <w:br/>
        <w:t>sách phù hợp với tình hình thực tế của địa phương thì việc xây dựng Nghị quyết</w:t>
      </w:r>
      <w:r>
        <w:rPr>
          <w:rFonts w:ascii="Times New Roman" w:hAnsi="Times New Roman"/>
          <w:color w:val="000000"/>
          <w:szCs w:val="28"/>
        </w:rPr>
        <w:br/>
        <w:t>quy định một số mức chi sự nghiệp tài nguyên và bảo vệ môi trường trên địa</w:t>
      </w:r>
      <w:r>
        <w:rPr>
          <w:rFonts w:ascii="Times New Roman" w:hAnsi="Times New Roman"/>
          <w:color w:val="000000"/>
          <w:szCs w:val="28"/>
        </w:rPr>
        <w:br/>
        <w:t>bàn tỉnh Hà Tĩnh là hết sức cần thiết.</w:t>
      </w:r>
    </w:p>
    <w:p>
      <w:pPr>
        <w:widowControl w:val="0"/>
        <w:tabs>
          <w:tab w:val="left" w:pos="0"/>
          <w:tab w:val="left" w:pos="993"/>
        </w:tabs>
        <w:spacing w:before="120"/>
        <w:ind w:firstLine="709"/>
        <w:jc w:val="both"/>
        <w:rPr>
          <w:rFonts w:ascii="Times New Roman" w:hAnsi="Times New Roman"/>
          <w:b/>
          <w:bCs/>
          <w:szCs w:val="28"/>
          <w:lang w:val="en-GB" w:eastAsia="en-GB"/>
        </w:rPr>
      </w:pPr>
      <w:r>
        <w:rPr>
          <w:rFonts w:ascii="Times New Roman" w:hAnsi="Times New Roman"/>
          <w:b/>
          <w:bCs/>
          <w:szCs w:val="28"/>
          <w:lang w:val="en-GB" w:eastAsia="en-GB"/>
        </w:rPr>
        <w:lastRenderedPageBreak/>
        <w:t>II. MỤC ĐÍCH, QUAN ĐIỂM XÂY DỰNG NGHỊ QUYẾT</w:t>
      </w:r>
    </w:p>
    <w:p>
      <w:pPr>
        <w:widowControl w:val="0"/>
        <w:tabs>
          <w:tab w:val="left" w:pos="0"/>
          <w:tab w:val="left" w:pos="709"/>
        </w:tabs>
        <w:spacing w:before="120"/>
        <w:ind w:firstLine="709"/>
        <w:jc w:val="both"/>
        <w:rPr>
          <w:rFonts w:ascii="Times New Roman" w:hAnsi="Times New Roman"/>
          <w:bCs/>
          <w:szCs w:val="28"/>
          <w:lang w:val="en-GB" w:eastAsia="en-GB"/>
        </w:rPr>
      </w:pPr>
      <w:r>
        <w:rPr>
          <w:rFonts w:ascii="Times New Roman" w:hAnsi="Times New Roman"/>
          <w:b/>
          <w:bCs/>
          <w:szCs w:val="28"/>
          <w:lang w:val="en-GB" w:eastAsia="en-GB"/>
        </w:rPr>
        <w:tab/>
        <w:t>1. Mục đích</w:t>
      </w:r>
    </w:p>
    <w:p>
      <w:pPr>
        <w:widowControl w:val="0"/>
        <w:tabs>
          <w:tab w:val="left" w:leader="dot" w:pos="3894"/>
        </w:tabs>
        <w:spacing w:before="120"/>
        <w:ind w:firstLine="709"/>
        <w:jc w:val="both"/>
        <w:rPr>
          <w:rFonts w:ascii="Times New Roman" w:hAnsi="Times New Roman"/>
          <w:color w:val="000000"/>
          <w:szCs w:val="28"/>
        </w:rPr>
      </w:pPr>
      <w:r>
        <w:rPr>
          <w:rFonts w:ascii="Times New Roman" w:hAnsi="Times New Roman"/>
          <w:color w:val="000000"/>
          <w:szCs w:val="28"/>
        </w:rPr>
        <w:t>Xây dựng Nghị quyết quy định một số mức chi sự nghiệp tài nguyên và bảo vệ môi trường trên địa bàn tỉnh Hà Tĩnh làm cơ sở trong việc xây dựng dự toán khi sử dụng kinh phí ngân sách địa phương .</w:t>
      </w:r>
    </w:p>
    <w:p>
      <w:pPr>
        <w:widowControl w:val="0"/>
        <w:tabs>
          <w:tab w:val="left" w:leader="dot" w:pos="3894"/>
        </w:tabs>
        <w:spacing w:before="120"/>
        <w:ind w:firstLine="709"/>
        <w:jc w:val="both"/>
        <w:rPr>
          <w:rFonts w:ascii="Times New Roman" w:hAnsi="Times New Roman"/>
          <w:szCs w:val="28"/>
          <w:shd w:val="clear" w:color="auto" w:fill="FFFFFF"/>
          <w:lang w:val="en-GB" w:eastAsia="vi-VN"/>
        </w:rPr>
      </w:pPr>
      <w:r>
        <w:t xml:space="preserve"> </w:t>
      </w:r>
      <w:r>
        <w:rPr>
          <w:rFonts w:ascii="Times New Roman" w:hAnsi="Times New Roman"/>
          <w:b/>
          <w:szCs w:val="28"/>
          <w:shd w:val="clear" w:color="auto" w:fill="FFFFFF"/>
          <w:lang w:val="en-GB" w:eastAsia="vi-VN"/>
        </w:rPr>
        <w:t>2.</w:t>
      </w:r>
      <w:r>
        <w:rPr>
          <w:rFonts w:ascii="Times New Roman" w:hAnsi="Times New Roman"/>
          <w:szCs w:val="28"/>
          <w:shd w:val="clear" w:color="auto" w:fill="FFFFFF"/>
          <w:lang w:val="en-GB" w:eastAsia="vi-VN"/>
        </w:rPr>
        <w:t xml:space="preserve"> </w:t>
      </w:r>
      <w:r>
        <w:rPr>
          <w:rFonts w:ascii="Times New Roman" w:hAnsi="Times New Roman"/>
          <w:b/>
          <w:szCs w:val="28"/>
          <w:shd w:val="clear" w:color="auto" w:fill="FFFFFF"/>
          <w:lang w:val="en-GB" w:eastAsia="vi-VN"/>
        </w:rPr>
        <w:t>Quan điểm</w:t>
      </w:r>
    </w:p>
    <w:p>
      <w:pPr>
        <w:widowControl w:val="0"/>
        <w:tabs>
          <w:tab w:val="left" w:leader="dot" w:pos="3894"/>
        </w:tabs>
        <w:spacing w:before="120"/>
        <w:ind w:firstLine="709"/>
        <w:jc w:val="both"/>
        <w:rPr>
          <w:rFonts w:ascii="Times New Roman" w:hAnsi="Times New Roman"/>
          <w:iCs/>
          <w:lang w:val="nl-NL"/>
        </w:rPr>
      </w:pPr>
      <w:r>
        <w:rPr>
          <w:rFonts w:ascii="Times New Roman" w:hAnsi="Times New Roman"/>
          <w:szCs w:val="28"/>
          <w:shd w:val="clear" w:color="auto" w:fill="FFFFFF"/>
          <w:lang w:val="en-GB" w:eastAsia="vi-VN"/>
        </w:rPr>
        <w:t xml:space="preserve">- Đảm bảo thực hiện đúng quy định tại </w:t>
      </w:r>
      <w:r>
        <w:rPr>
          <w:rFonts w:ascii="Times New Roman" w:hAnsi="Times New Roman"/>
          <w:lang w:val="vi-VN"/>
        </w:rPr>
        <w:t>Luật Ngân sách Nhà nước</w:t>
      </w:r>
      <w:r>
        <w:rPr>
          <w:rFonts w:ascii="Times New Roman" w:hAnsi="Times New Roman"/>
        </w:rPr>
        <w:t xml:space="preserve"> </w:t>
      </w:r>
      <w:r>
        <w:rPr>
          <w:rFonts w:ascii="Times New Roman" w:hAnsi="Times New Roman"/>
          <w:iCs/>
          <w:lang w:val="nl-NL"/>
        </w:rPr>
        <w:t>và các Thông tư hướng dẫn về quản lý kinh phí sự nghiệp tài nguyên và bảo vệ môi trường.</w:t>
      </w:r>
    </w:p>
    <w:p>
      <w:pPr>
        <w:widowControl w:val="0"/>
        <w:tabs>
          <w:tab w:val="left" w:leader="dot" w:pos="3894"/>
        </w:tabs>
        <w:spacing w:before="120"/>
        <w:ind w:firstLine="709"/>
        <w:jc w:val="both"/>
        <w:rPr>
          <w:rFonts w:ascii="Times New Roman" w:hAnsi="Times New Roman"/>
          <w:iCs/>
          <w:lang w:val="nl-NL"/>
        </w:rPr>
      </w:pPr>
      <w:r>
        <w:rPr>
          <w:rFonts w:ascii="Times New Roman" w:hAnsi="Times New Roman"/>
          <w:iCs/>
          <w:lang w:val="nl-NL"/>
        </w:rPr>
        <w:t xml:space="preserve">- Dự thảo Nghị quyết được xây dựng dựa trên định mức chi quy định tại các Thông tư </w:t>
      </w:r>
      <w:r>
        <w:rPr>
          <w:rFonts w:ascii="Times New Roman" w:hAnsi="Times New Roman"/>
          <w:iCs/>
          <w:szCs w:val="28"/>
          <w:shd w:val="clear" w:color="auto" w:fill="FFFFFF"/>
        </w:rPr>
        <w:t>số 136/2017/TT-BTC ngày 22/12/2017 quy định lập, quản lý, sử dụng kinh phí chi hoạt động kinh tế đối với các nhiệm vụ chi về tài nguyên môi trường; số 02/2017/TT-BTC ngày 06/1/2017 hướng dẫn quản lý kinh phí sự nghiệp bảo vệ môi trường; số 31/2023/TT-BTC ngày 25/5/2023 sửa đổi, bổ sung một số điều của Thông tư số 02/2017/TT-BTC ngày 06/01/2017 của Bộ trưởng Bộ Tài chính hướng dẫn quản lý kinh phí sự nghiệp bảo vệ môi trường; số 94/2024/TT-BTC ngày 31/12/2024 sửa đổi, bổ sung một số điều của Thông tư số </w:t>
      </w:r>
      <w:hyperlink r:id="rId9" w:tgtFrame="_blank" w:tooltip="Thông tư 02/2017/TT-BTC" w:history="1">
        <w:r>
          <w:rPr>
            <w:rFonts w:ascii="Times New Roman" w:hAnsi="Times New Roman"/>
            <w:iCs/>
            <w:szCs w:val="28"/>
            <w:shd w:val="clear" w:color="auto" w:fill="FFFFFF"/>
          </w:rPr>
          <w:t>02/2017/TT-</w:t>
        </w:r>
      </w:hyperlink>
      <w:r>
        <w:rPr>
          <w:rFonts w:ascii="Times New Roman" w:hAnsi="Times New Roman"/>
          <w:iCs/>
          <w:szCs w:val="28"/>
        </w:rPr>
        <w:t>BTC</w:t>
      </w:r>
      <w:r>
        <w:rPr>
          <w:rFonts w:ascii="Times New Roman" w:hAnsi="Times New Roman"/>
          <w:iCs/>
          <w:szCs w:val="28"/>
          <w:shd w:val="clear" w:color="auto" w:fill="FFFFFF"/>
        </w:rPr>
        <w:t> ngày 06 tháng 01 năm 2017 của Bộ trưởng Bộ Tài chính hướng dẫn quản lý kinh phí sự nghiệp bảo vệ môi trường và khả năng cân đối ngân sách của địa phương.</w:t>
      </w:r>
    </w:p>
    <w:p>
      <w:pPr>
        <w:spacing w:before="60" w:after="60" w:line="360" w:lineRule="exact"/>
        <w:ind w:right="-72" w:firstLine="691"/>
        <w:jc w:val="both"/>
        <w:rPr>
          <w:rFonts w:ascii="Times New Roman" w:hAnsi="Times New Roman"/>
          <w:b/>
          <w:szCs w:val="28"/>
        </w:rPr>
      </w:pPr>
      <w:r>
        <w:rPr>
          <w:rFonts w:ascii="Times New Roman" w:hAnsi="Times New Roman"/>
          <w:b/>
          <w:bCs/>
          <w:iCs/>
          <w:lang w:val="nl-NL"/>
        </w:rPr>
        <w:t>III.</w:t>
      </w:r>
      <w:r>
        <w:rPr>
          <w:rFonts w:ascii="Times New Roman" w:hAnsi="Times New Roman"/>
          <w:b/>
          <w:szCs w:val="28"/>
        </w:rPr>
        <w:t xml:space="preserve"> QUÁ TRÌNH XÂY DỰNG DỰ THẢO NGHỊ QUYẾT</w:t>
      </w:r>
    </w:p>
    <w:p>
      <w:pPr>
        <w:spacing w:before="60" w:after="60" w:line="360" w:lineRule="exact"/>
        <w:jc w:val="both"/>
        <w:rPr>
          <w:rFonts w:ascii="Times New Roman" w:hAnsi="Times New Roman"/>
          <w:szCs w:val="28"/>
        </w:rPr>
      </w:pPr>
      <w:r>
        <w:rPr>
          <w:rFonts w:ascii="Times New Roman" w:hAnsi="Times New Roman"/>
          <w:szCs w:val="28"/>
        </w:rPr>
        <w:tab/>
        <w:t xml:space="preserve">1. Ủy ban nhân dân tỉnh đã trình Thường trực Hội đồng nhân dân tỉnh </w:t>
      </w:r>
      <w:r>
        <w:rPr>
          <w:rFonts w:ascii="Times New Roman" w:hAnsi="Times New Roman"/>
          <w:szCs w:val="28"/>
          <w:lang w:val="vi-VN"/>
        </w:rPr>
        <w:t xml:space="preserve">đăng ký </w:t>
      </w:r>
      <w:r>
        <w:rPr>
          <w:rFonts w:ascii="Times New Roman" w:hAnsi="Times New Roman"/>
          <w:szCs w:val="28"/>
        </w:rPr>
        <w:t>bổ sung</w:t>
      </w:r>
      <w:r>
        <w:rPr>
          <w:rFonts w:ascii="Times New Roman" w:hAnsi="Times New Roman"/>
          <w:szCs w:val="28"/>
          <w:lang w:val="vi-VN"/>
        </w:rPr>
        <w:t xml:space="preserve"> nội dung</w:t>
      </w:r>
      <w:r>
        <w:rPr>
          <w:rFonts w:ascii="Times New Roman" w:hAnsi="Times New Roman"/>
          <w:szCs w:val="28"/>
        </w:rPr>
        <w:t xml:space="preserve"> tại</w:t>
      </w:r>
      <w:r>
        <w:rPr>
          <w:rFonts w:ascii="Times New Roman" w:hAnsi="Times New Roman"/>
          <w:szCs w:val="28"/>
          <w:lang w:val="vi-VN"/>
        </w:rPr>
        <w:t xml:space="preserve"> Kỳ họp Hội đồng nhân dân tỉn</w:t>
      </w:r>
      <w:r>
        <w:rPr>
          <w:rFonts w:ascii="Times New Roman" w:hAnsi="Times New Roman"/>
          <w:szCs w:val="28"/>
        </w:rPr>
        <w:t xml:space="preserve">h </w:t>
      </w:r>
      <w:r>
        <w:rPr>
          <w:rFonts w:ascii="Times New Roman" w:hAnsi="Times New Roman"/>
          <w:szCs w:val="28"/>
          <w:lang w:val="vi-VN"/>
        </w:rPr>
        <w:t xml:space="preserve">khóa XVIII </w:t>
      </w:r>
      <w:r>
        <w:rPr>
          <w:rFonts w:ascii="Times New Roman" w:hAnsi="Times New Roman"/>
          <w:szCs w:val="28"/>
        </w:rPr>
        <w:t>giữa năm 2025, và đã được Thường trực Hội đồng nhân dân tỉnh chấp thuận</w:t>
      </w:r>
      <w:r>
        <w:rPr>
          <w:rStyle w:val="FootnoteReference"/>
          <w:rFonts w:ascii="Times New Roman" w:hAnsi="Times New Roman"/>
          <w:szCs w:val="28"/>
        </w:rPr>
        <w:footnoteReference w:id="1"/>
      </w:r>
      <w:r>
        <w:rPr>
          <w:rFonts w:ascii="Times New Roman" w:hAnsi="Times New Roman"/>
          <w:szCs w:val="28"/>
        </w:rPr>
        <w:t>.</w:t>
      </w:r>
    </w:p>
    <w:p>
      <w:pPr>
        <w:spacing w:before="60" w:after="60" w:line="360" w:lineRule="exact"/>
        <w:jc w:val="both"/>
        <w:rPr>
          <w:rFonts w:ascii="Times New Roman" w:hAnsi="Times New Roman"/>
          <w:szCs w:val="28"/>
        </w:rPr>
      </w:pPr>
      <w:r>
        <w:rPr>
          <w:rFonts w:ascii="Times New Roman" w:hAnsi="Times New Roman"/>
          <w:szCs w:val="28"/>
        </w:rPr>
        <w:tab/>
        <w:t xml:space="preserve">2. Dự thảo Tờ trình và dự thảo Nghị quyết đã được lấy ý kiến của các cơ quan, đơn vị, địa phương và đăng tải trên Cổng thông tin điện tử tỉnh Hà Tĩnh; tổng hợp, tiếp thu ý kiến góp ý của các cơ quan, đơn vị, địa phương; hoàn thiện, gửi Sở Tư pháp thẩm định. </w:t>
      </w:r>
    </w:p>
    <w:p>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Pr>
          <w:rFonts w:ascii="Times New Roman" w:hAnsi="Times New Roman"/>
        </w:rPr>
        <w:t>3. Sở Tư pháp thẩm định dự thảo Tờ trình và Nghị quyết.</w:t>
      </w:r>
    </w:p>
    <w:p>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Pr>
          <w:rFonts w:ascii="Times New Roman" w:hAnsi="Times New Roman"/>
        </w:rPr>
        <w:t>4. Xem xét, chỉnh lý, hoàn thiện dự thảo Nghị quyết.</w:t>
      </w:r>
    </w:p>
    <w:p>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rPr>
      </w:pPr>
      <w:r>
        <w:rPr>
          <w:rFonts w:ascii="Times New Roman" w:hAnsi="Times New Roman"/>
          <w:b/>
          <w:bCs/>
        </w:rPr>
        <w:t>IV. PHẠM VI, ĐỐI TƯỢNG ÁP DỤNG CỦA NGHỊ QUYẾT</w:t>
      </w:r>
    </w:p>
    <w:p>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rPr>
      </w:pPr>
      <w:r>
        <w:rPr>
          <w:rFonts w:ascii="Times New Roman" w:hAnsi="Times New Roman"/>
          <w:b/>
          <w:bCs/>
        </w:rPr>
        <w:t>1. Phạm vi điều chỉnh</w:t>
      </w:r>
      <w:r>
        <w:rPr>
          <w:rFonts w:ascii="Times New Roman" w:hAnsi="Times New Roman"/>
          <w:b/>
          <w:bCs/>
        </w:rPr>
        <w:tab/>
      </w:r>
    </w:p>
    <w:p>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rPr>
      </w:pPr>
      <w:r>
        <w:rPr>
          <w:rFonts w:ascii="Times New Roman" w:hAnsi="Times New Roman"/>
          <w:spacing w:val="-2"/>
          <w:szCs w:val="28"/>
        </w:rPr>
        <w:t xml:space="preserve">- Nghị quyết này </w:t>
      </w:r>
      <w:r>
        <w:rPr>
          <w:rFonts w:ascii="Times New Roman" w:hAnsi="Times New Roman"/>
          <w:color w:val="000000" w:themeColor="text1"/>
          <w:spacing w:val="3"/>
          <w:shd w:val="clear" w:color="auto" w:fill="FFFFFF"/>
        </w:rPr>
        <w:t>quy định một số mức chi sử dụng nguồn kinh phí sự nghiệp tài nguyên môi trường và bảo vệ môi trường trên địa bàn tỉnh Hà Tĩnh do ngân sách địa phương bảo đảm, để làm căn cứ</w:t>
      </w:r>
      <w:r>
        <w:rPr>
          <w:rFonts w:ascii="Times New Roman" w:hAnsi="Times New Roman"/>
          <w:spacing w:val="-2"/>
          <w:szCs w:val="28"/>
        </w:rPr>
        <w:t xml:space="preserve"> </w:t>
      </w:r>
      <w:r>
        <w:rPr>
          <w:rFonts w:ascii="Times New Roman" w:hAnsi="Times New Roman"/>
          <w:color w:val="000000"/>
          <w:szCs w:val="28"/>
          <w:shd w:val="clear" w:color="auto" w:fill="FFFFFF"/>
        </w:rPr>
        <w:t>lập, quản lý, sử dụng kinh phí chi hoạt động kinh tế đối với các nhiệm vụ chi về tài nguyên và thực hiện các nhiệm vụ bảo vệ môi trường.</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 Các nhiệm vụ chi về tài nguyên môi trường, bao gồm: Quản lý đất đai, đo đạc và bản đồ, địa chất và khoáng sản, tài nguyên nước, biển và hải đảo, khí tượng thủy văn và giám sát biến đổi khí hậu, viễn thám, đa dạng sinh học và các nhiệm vụ chi khác về tài nguyên</w:t>
      </w:r>
      <w:r>
        <w:rPr>
          <w:rFonts w:ascii="Times New Roman" w:hAnsi="Times New Roman"/>
          <w:spacing w:val="-2"/>
          <w:szCs w:val="28"/>
        </w:rPr>
        <w:t xml:space="preserve"> theo quy định tại </w:t>
      </w:r>
      <w:r>
        <w:rPr>
          <w:rStyle w:val="fontstyle01"/>
        </w:rPr>
        <w:t>khoản 2 Điều 4</w:t>
      </w:r>
      <w:r>
        <w:rPr>
          <w:rFonts w:ascii="Times New Roman" w:hAnsi="Times New Roman"/>
        </w:rPr>
        <w:t xml:space="preserve"> </w:t>
      </w:r>
      <w:r>
        <w:rPr>
          <w:rFonts w:ascii="Times New Roman" w:hAnsi="Times New Roman"/>
          <w:iCs/>
          <w:color w:val="000000"/>
          <w:shd w:val="clear" w:color="auto" w:fill="FFFFFF"/>
        </w:rPr>
        <w:t>Thông tư số 136/2017/TT-BTC ngày 22/12/2017 của Bộ trưởng Bộ Tài chính</w:t>
      </w:r>
      <w:r>
        <w:rPr>
          <w:rFonts w:ascii="Times New Roman" w:hAnsi="Times New Roman"/>
        </w:rPr>
        <w:t xml:space="preserve"> </w:t>
      </w:r>
      <w:r>
        <w:rPr>
          <w:rFonts w:ascii="Times New Roman" w:hAnsi="Times New Roman"/>
          <w:color w:val="000000"/>
          <w:shd w:val="clear" w:color="auto" w:fill="FFFFFF"/>
        </w:rPr>
        <w:t>quy định lập, quản lý, sử dụng kinh phí chi hoạt động kinh tế đối với các nhiệm vụ chi về tài nguyên môi trường</w:t>
      </w:r>
      <w:r>
        <w:rPr>
          <w:rFonts w:ascii="Times New Roman" w:hAnsi="Times New Roman"/>
          <w:color w:val="000000"/>
          <w:szCs w:val="28"/>
          <w:shd w:val="clear" w:color="auto" w:fill="FFFFFF"/>
        </w:rPr>
        <w:t>.</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spacing w:val="-2"/>
          <w:szCs w:val="28"/>
        </w:rPr>
      </w:pPr>
      <w:r>
        <w:rPr>
          <w:rFonts w:ascii="Times New Roman" w:hAnsi="Times New Roman"/>
          <w:color w:val="000000"/>
          <w:szCs w:val="28"/>
          <w:shd w:val="clear" w:color="auto" w:fill="FFFFFF"/>
        </w:rPr>
        <w:t>- Các nhiệm vụ chi về bảo vệ môi trường (bao gồm cả các dự án, đề án, chương trình bảo vệ môi trường nếu có)</w:t>
      </w:r>
      <w:r>
        <w:rPr>
          <w:rFonts w:ascii="Times New Roman" w:hAnsi="Times New Roman"/>
          <w:spacing w:val="-2"/>
          <w:szCs w:val="28"/>
        </w:rPr>
        <w:t xml:space="preserve"> được quy định tại </w:t>
      </w:r>
      <w:r>
        <w:rPr>
          <w:rStyle w:val="fontstyle01"/>
        </w:rPr>
        <w:t xml:space="preserve">khoản 2 Điều 4 Thông tư số 02/2017/TT-BTC ngày 06/01/2017 của Bộ trưởng Bộ Tài chính hướng dẫn quản lý kinh phí sự nghiệp bảo vệ môi trường, được sửa đổi, bổ sung tại khoản 2 Điều 1 Thông tư số </w:t>
      </w:r>
      <w:r>
        <w:rPr>
          <w:rFonts w:ascii="Times New Roman" w:hAnsi="Times New Roman"/>
          <w:szCs w:val="28"/>
          <w:shd w:val="clear" w:color="auto" w:fill="FFFFFF"/>
        </w:rPr>
        <w:t>31/2023/TT-BTC ngày 25 tháng 5 năm 2023 về sửa đổi, bổ sung một số điều của Thông tư số 02/2017/TT-BTC</w:t>
      </w:r>
      <w:r>
        <w:rPr>
          <w:rFonts w:ascii="Times New Roman" w:hAnsi="Times New Roman"/>
          <w:spacing w:val="-2"/>
          <w:szCs w:val="28"/>
        </w:rPr>
        <w:t xml:space="preserve">. </w:t>
      </w:r>
    </w:p>
    <w:p>
      <w:pPr>
        <w:pBdr>
          <w:top w:val="dotted" w:sz="4" w:space="0" w:color="FFFFFF"/>
          <w:left w:val="dotted" w:sz="4" w:space="0" w:color="FFFFFF"/>
          <w:bottom w:val="dotted" w:sz="4" w:space="22" w:color="FFFFFF"/>
          <w:right w:val="dotted" w:sz="4" w:space="0" w:color="FFFFFF"/>
        </w:pBdr>
        <w:spacing w:line="320" w:lineRule="exact"/>
        <w:ind w:firstLine="720"/>
        <w:jc w:val="both"/>
        <w:rPr>
          <w:rFonts w:ascii="Times New Roman" w:hAnsi="Times New Roman"/>
          <w:spacing w:val="-2"/>
          <w:szCs w:val="28"/>
        </w:rPr>
      </w:pPr>
      <w:r>
        <w:rPr>
          <w:rFonts w:ascii="Times New Roman" w:hAnsi="Times New Roman"/>
          <w:b/>
          <w:bCs/>
        </w:rPr>
        <w:t>2. Đối tượng áp dụng</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 Các Sở, ban, ngành, UBND các xã, phường trên địa bàn tỉnh Hà Tĩnh.</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rPr>
      </w:pPr>
      <w:r>
        <w:rPr>
          <w:rFonts w:ascii="Times New Roman" w:hAnsi="Times New Roman"/>
          <w:color w:val="000000"/>
          <w:szCs w:val="28"/>
          <w:shd w:val="clear" w:color="auto" w:fill="FFFFFF"/>
        </w:rPr>
        <w:t>- Các cơ quan, tổ chức, cá nhân có liên quan đến việc sử dụng kinh phí sự nghiệp tài nguyên môi trường và sự nghiệp bảo vệ môi trường trên địa bàn tỉnh Hà Tĩnh</w:t>
      </w:r>
      <w:r>
        <w:rPr>
          <w:rFonts w:ascii="Times New Roman" w:hAnsi="Times New Roman"/>
          <w:color w:val="000000"/>
          <w:szCs w:val="28"/>
        </w:rPr>
        <w:t>.</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rPr>
      </w:pPr>
      <w:r>
        <w:rPr>
          <w:rFonts w:ascii="Times New Roman" w:hAnsi="Times New Roman"/>
          <w:b/>
          <w:bCs/>
          <w:spacing w:val="-4"/>
        </w:rPr>
        <w:t>V. BỐ CỤC VÀ NỘI DUNG CƠ BẢN CỦA DỰ THẢO NGHỊ QUYẾT</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rPr>
      </w:pPr>
      <w:r>
        <w:rPr>
          <w:rFonts w:ascii="Times New Roman" w:hAnsi="Times New Roman"/>
          <w:b/>
          <w:bCs/>
        </w:rPr>
        <w:t>1. Bố cục</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rPr>
      </w:pPr>
      <w:r>
        <w:rPr>
          <w:rFonts w:ascii="Times New Roman" w:hAnsi="Times New Roman"/>
        </w:rPr>
        <w:t xml:space="preserve">Dự thảo Nghị quyết có 04 Điều và 03 phụ lục; gồm: </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rPr>
      </w:pPr>
      <w:r>
        <w:rPr>
          <w:rFonts w:ascii="Times New Roman" w:hAnsi="Times New Roman"/>
        </w:rPr>
        <w:t xml:space="preserve">Điều 1. </w:t>
      </w:r>
      <w:r>
        <w:rPr>
          <w:rFonts w:ascii="Times New Roman" w:hAnsi="Times New Roman"/>
          <w:szCs w:val="28"/>
        </w:rPr>
        <w:t>Phạm vi điều chỉnh</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rPr>
      </w:pPr>
      <w:r>
        <w:rPr>
          <w:rFonts w:ascii="Times New Roman" w:hAnsi="Times New Roman"/>
        </w:rPr>
        <w:t>Điều 2. Đối tượng áp dụng.</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rPr>
      </w:pPr>
      <w:r>
        <w:rPr>
          <w:rFonts w:ascii="Times New Roman" w:hAnsi="Times New Roman"/>
        </w:rPr>
        <w:t>Điều 3. Mức chi</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rPr>
      </w:pPr>
      <w:r>
        <w:rPr>
          <w:rFonts w:ascii="Times New Roman" w:hAnsi="Times New Roman"/>
        </w:rPr>
        <w:t>Điều 4. Tổ chức thực hiện.</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rPr>
      </w:pPr>
      <w:r>
        <w:rPr>
          <w:rFonts w:ascii="Times New Roman" w:hAnsi="Times New Roman"/>
        </w:rPr>
        <w:t>Phụ lục I. Một số mức chi phí quản lý chung trong lập, quản lý, sử dụng kinh phí chi hoạt động kinh tế đối với các nhiệm vụ chi về tài nguyên môi trường.</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rPr>
      </w:pPr>
      <w:r>
        <w:rPr>
          <w:rFonts w:ascii="Times New Roman" w:hAnsi="Times New Roman"/>
        </w:rPr>
        <w:t>Phụ lục II. Một số mức chi nhiệm vụ, dự án về tài nguyên môi trường.</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rPr>
      </w:pPr>
      <w:r>
        <w:rPr>
          <w:rFonts w:ascii="Times New Roman" w:hAnsi="Times New Roman"/>
        </w:rPr>
        <w:t>Phụ lục III. Một số mức chi sự nghiệp bảo vệ môi trường.</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rPr>
      </w:pPr>
      <w:r>
        <w:rPr>
          <w:rFonts w:ascii="Times New Roman" w:hAnsi="Times New Roman"/>
          <w:b/>
          <w:bCs/>
        </w:rPr>
        <w:t>2. Nội dung cơ bản của dự thảo Nghị quyết</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rPr>
      </w:pPr>
      <w:r>
        <w:rPr>
          <w:rFonts w:ascii="Times New Roman" w:hAnsi="Times New Roman"/>
        </w:rPr>
        <w:t>- Quy định cụ thể mức chi phí quản lý chung trong lập, quản lý, sử dụng kinh phí chi hoạt động kinh tế đối với các nhiệ</w:t>
      </w:r>
      <w:bookmarkStart w:id="2" w:name="_GoBack"/>
      <w:bookmarkEnd w:id="2"/>
      <w:r>
        <w:rPr>
          <w:rFonts w:ascii="Times New Roman" w:hAnsi="Times New Roman"/>
        </w:rPr>
        <w:t>m vụ chi về tài nguyên môi trường.</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rPr>
      </w:pPr>
      <w:r>
        <w:rPr>
          <w:rFonts w:ascii="Times New Roman" w:hAnsi="Times New Roman"/>
        </w:rPr>
        <w:t>- Quy định cụ thể mức chi nhiệm vụ, dự án về tài nguyên môi trường.</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rPr>
      </w:pPr>
      <w:r>
        <w:rPr>
          <w:rFonts w:ascii="Times New Roman" w:hAnsi="Times New Roman"/>
        </w:rPr>
        <w:t>- Quy định cụ thể mức chi sự nghiệp bảo vệ môi trường.</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center"/>
        <w:rPr>
          <w:rFonts w:ascii="Times New Roman" w:hAnsi="Times New Roman"/>
        </w:rPr>
      </w:pPr>
      <w:r>
        <w:rPr>
          <w:rFonts w:ascii="Times New Roman" w:hAnsi="Times New Roman"/>
        </w:rPr>
        <w:t>(Chi tiết có dự thảo Nghị quyết kèm theo)</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b/>
          <w:bCs/>
          <w:color w:val="081B3A"/>
          <w:spacing w:val="3"/>
          <w:szCs w:val="28"/>
          <w:shd w:val="clear" w:color="auto" w:fill="FFFFFF"/>
        </w:rPr>
      </w:pP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b/>
          <w:bCs/>
          <w:color w:val="081B3A"/>
          <w:spacing w:val="3"/>
          <w:szCs w:val="28"/>
          <w:shd w:val="clear" w:color="auto" w:fill="FFFFFF"/>
        </w:rPr>
      </w:pPr>
      <w:r>
        <w:rPr>
          <w:rFonts w:ascii="Times New Roman" w:hAnsi="Times New Roman"/>
          <w:b/>
          <w:bCs/>
          <w:color w:val="081B3A"/>
          <w:spacing w:val="3"/>
          <w:szCs w:val="28"/>
          <w:shd w:val="clear" w:color="auto" w:fill="FFFFFF"/>
        </w:rPr>
        <w:lastRenderedPageBreak/>
        <w:t>VI. DỰ KIẾN NGUỒN LỰC, ĐIỀU KIỆN BẢO ĐẢM CHO VIỆC THI HÀNH VĂN BẢN VÀ THỜI GIAN TRÌNH THÔNG QUA/BAN HÀNH.</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81B3A"/>
          <w:spacing w:val="3"/>
          <w:szCs w:val="28"/>
          <w:shd w:val="clear" w:color="auto" w:fill="FFFFFF"/>
        </w:rPr>
      </w:pPr>
      <w:r>
        <w:rPr>
          <w:rFonts w:ascii="Times New Roman" w:hAnsi="Times New Roman"/>
          <w:color w:val="081B3A"/>
          <w:spacing w:val="3"/>
          <w:szCs w:val="28"/>
          <w:shd w:val="clear" w:color="auto" w:fill="FFFFFF"/>
        </w:rPr>
        <w:t>1. Dự kiến nguồn lực, điều kiện bảo đảm cho việc thi hành văn bản: Việc ban hành Nghị quyết không phát sinh nguồn lực.</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81B3A"/>
          <w:spacing w:val="3"/>
          <w:szCs w:val="28"/>
          <w:shd w:val="clear" w:color="auto" w:fill="FFFFFF"/>
        </w:rPr>
      </w:pPr>
      <w:r>
        <w:rPr>
          <w:rFonts w:ascii="Times New Roman" w:hAnsi="Times New Roman"/>
          <w:color w:val="081B3A"/>
          <w:spacing w:val="3"/>
          <w:szCs w:val="28"/>
          <w:shd w:val="clear" w:color="auto" w:fill="FFFFFF"/>
        </w:rPr>
        <w:t>2. Thời gian trình thông qua/ban hành: Dự kiến sẽ được thông qua tại Kỳ họp thường lệ giữa năm 2025.</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81B3A"/>
          <w:spacing w:val="3"/>
          <w:szCs w:val="28"/>
          <w:shd w:val="clear" w:color="auto" w:fill="FFFFFF"/>
        </w:rPr>
      </w:pPr>
      <w:r>
        <w:rPr>
          <w:rFonts w:ascii="Times New Roman" w:hAnsi="Times New Roman"/>
        </w:rPr>
        <w:t xml:space="preserve">Trên đây là Tờ trình của UBND tỉnh về dự thảo Nghị quyết </w:t>
      </w:r>
      <w:bookmarkStart w:id="3" w:name="_Hlk199425874"/>
      <w:r>
        <w:rPr>
          <w:rFonts w:ascii="Times New Roman" w:hAnsi="Times New Roman"/>
          <w:color w:val="000000" w:themeColor="text1"/>
          <w:spacing w:val="3"/>
          <w:shd w:val="clear" w:color="auto" w:fill="FFFFFF"/>
        </w:rPr>
        <w:t>Quy định một số mức chi sự nghiệp tài nguyên môi trường và bảo vệ môi trường trên địa bàn tỉnh Hà Tĩnh</w:t>
      </w:r>
      <w:bookmarkEnd w:id="3"/>
      <w:r>
        <w:rPr>
          <w:rFonts w:ascii="Times New Roman" w:hAnsi="Times New Roman"/>
        </w:rPr>
        <w:t>; UBND tỉnh kính trình HĐND tỉnh xem xét, quyết định./.</w:t>
      </w:r>
    </w:p>
    <w:p>
      <w:pPr>
        <w:widowControl w:val="0"/>
        <w:tabs>
          <w:tab w:val="left" w:pos="993"/>
        </w:tabs>
        <w:spacing w:before="60"/>
        <w:ind w:firstLine="709"/>
        <w:jc w:val="both"/>
        <w:rPr>
          <w:rFonts w:ascii="Times New Roman" w:hAnsi="Times New Roman"/>
          <w:sz w:val="10"/>
          <w:szCs w:val="28"/>
          <w:lang w:val="vi-VN"/>
        </w:rPr>
      </w:pPr>
    </w:p>
    <w:tbl>
      <w:tblPr>
        <w:tblW w:w="0" w:type="auto"/>
        <w:tblLook w:val="01E0" w:firstRow="1" w:lastRow="1" w:firstColumn="1" w:lastColumn="1" w:noHBand="0" w:noVBand="0"/>
      </w:tblPr>
      <w:tblGrid>
        <w:gridCol w:w="4535"/>
        <w:gridCol w:w="4537"/>
      </w:tblGrid>
      <w:tr>
        <w:tc>
          <w:tcPr>
            <w:tcW w:w="4644" w:type="dxa"/>
          </w:tcPr>
          <w:p>
            <w:pPr>
              <w:rPr>
                <w:rFonts w:ascii="Times New Roman" w:hAnsi="Times New Roman"/>
                <w:b/>
                <w:i/>
                <w:sz w:val="24"/>
                <w:szCs w:val="28"/>
                <w:lang w:val="vi-VN"/>
              </w:rPr>
            </w:pPr>
            <w:r>
              <w:rPr>
                <w:rFonts w:ascii="Times New Roman" w:hAnsi="Times New Roman"/>
                <w:b/>
                <w:i/>
                <w:sz w:val="24"/>
                <w:szCs w:val="28"/>
                <w:lang w:val="vi-VN"/>
              </w:rPr>
              <w:t xml:space="preserve">Nơi nhận:                                                          </w:t>
            </w:r>
          </w:p>
          <w:p>
            <w:pPr>
              <w:rPr>
                <w:rFonts w:ascii="Times New Roman" w:hAnsi="Times New Roman"/>
                <w:sz w:val="22"/>
                <w:szCs w:val="28"/>
              </w:rPr>
            </w:pPr>
            <w:r>
              <w:rPr>
                <w:rFonts w:ascii="Times New Roman" w:hAnsi="Times New Roman"/>
                <w:sz w:val="22"/>
                <w:szCs w:val="28"/>
                <w:lang w:val="vi-VN"/>
              </w:rPr>
              <w:t xml:space="preserve">- </w:t>
            </w:r>
            <w:r>
              <w:rPr>
                <w:rFonts w:ascii="Times New Roman" w:hAnsi="Times New Roman"/>
                <w:sz w:val="22"/>
                <w:szCs w:val="28"/>
              </w:rPr>
              <w:t>Như trên;</w:t>
            </w:r>
          </w:p>
          <w:p>
            <w:pPr>
              <w:rPr>
                <w:rFonts w:ascii="Times New Roman" w:hAnsi="Times New Roman"/>
                <w:sz w:val="22"/>
                <w:szCs w:val="28"/>
              </w:rPr>
            </w:pPr>
            <w:r>
              <w:rPr>
                <w:rFonts w:ascii="Times New Roman" w:hAnsi="Times New Roman"/>
                <w:sz w:val="22"/>
                <w:szCs w:val="28"/>
              </w:rPr>
              <w:t>- Thường trực Tỉnh ủy;</w:t>
            </w:r>
            <w:r>
              <w:rPr>
                <w:rFonts w:ascii="Times New Roman" w:hAnsi="Times New Roman"/>
                <w:b/>
                <w:sz w:val="22"/>
                <w:szCs w:val="28"/>
                <w:lang w:val="vi-VN"/>
              </w:rPr>
              <w:t xml:space="preserve">                                              </w:t>
            </w:r>
          </w:p>
          <w:p>
            <w:pPr>
              <w:jc w:val="both"/>
              <w:rPr>
                <w:rFonts w:ascii="Times New Roman" w:hAnsi="Times New Roman"/>
                <w:sz w:val="22"/>
                <w:szCs w:val="28"/>
              </w:rPr>
            </w:pPr>
            <w:r>
              <w:rPr>
                <w:rFonts w:ascii="Times New Roman" w:hAnsi="Times New Roman"/>
                <w:sz w:val="22"/>
                <w:szCs w:val="28"/>
                <w:lang w:val="vi-VN"/>
              </w:rPr>
              <w:t>- Chủ tịch, các PCT UBND tỉnh;</w:t>
            </w:r>
          </w:p>
          <w:p>
            <w:pPr>
              <w:jc w:val="both"/>
              <w:rPr>
                <w:rFonts w:ascii="Times New Roman" w:hAnsi="Times New Roman"/>
                <w:sz w:val="22"/>
                <w:szCs w:val="28"/>
              </w:rPr>
            </w:pPr>
            <w:r>
              <w:rPr>
                <w:rFonts w:ascii="Times New Roman" w:hAnsi="Times New Roman"/>
                <w:sz w:val="22"/>
                <w:szCs w:val="28"/>
              </w:rPr>
              <w:t>- Các Ban HĐND tỉnh;</w:t>
            </w:r>
          </w:p>
          <w:p>
            <w:pPr>
              <w:jc w:val="both"/>
              <w:rPr>
                <w:rFonts w:ascii="Times New Roman" w:hAnsi="Times New Roman"/>
                <w:sz w:val="22"/>
                <w:szCs w:val="28"/>
              </w:rPr>
            </w:pPr>
            <w:r>
              <w:rPr>
                <w:rFonts w:ascii="Times New Roman" w:hAnsi="Times New Roman"/>
                <w:sz w:val="22"/>
                <w:szCs w:val="28"/>
              </w:rPr>
              <w:t>- Các Sở: Tài chính, Tư pháp, Nội vụ;</w:t>
            </w:r>
          </w:p>
          <w:p>
            <w:pPr>
              <w:jc w:val="both"/>
              <w:rPr>
                <w:rFonts w:ascii="Times New Roman" w:hAnsi="Times New Roman"/>
                <w:sz w:val="22"/>
                <w:szCs w:val="28"/>
              </w:rPr>
            </w:pPr>
            <w:r>
              <w:rPr>
                <w:rFonts w:ascii="Times New Roman" w:hAnsi="Times New Roman"/>
                <w:sz w:val="22"/>
                <w:szCs w:val="28"/>
              </w:rPr>
              <w:t>- Chánh VP, các PCVP UBND tỉnh;</w:t>
            </w:r>
          </w:p>
          <w:p>
            <w:pPr>
              <w:jc w:val="both"/>
              <w:rPr>
                <w:rFonts w:ascii="Times New Roman" w:hAnsi="Times New Roman"/>
                <w:szCs w:val="28"/>
                <w:lang w:val="vi-VN"/>
              </w:rPr>
            </w:pPr>
            <w:r>
              <w:rPr>
                <w:rFonts w:ascii="Times New Roman" w:hAnsi="Times New Roman"/>
                <w:sz w:val="22"/>
                <w:szCs w:val="28"/>
                <w:lang w:val="vi-VN"/>
              </w:rPr>
              <w:t xml:space="preserve">- Lưu: VT, </w:t>
            </w:r>
            <w:r>
              <w:rPr>
                <w:rFonts w:ascii="Times New Roman" w:hAnsi="Times New Roman"/>
                <w:sz w:val="22"/>
                <w:szCs w:val="28"/>
              </w:rPr>
              <w:t>TH</w:t>
            </w:r>
            <w:r>
              <w:rPr>
                <w:rFonts w:ascii="Times New Roman" w:hAnsi="Times New Roman"/>
                <w:sz w:val="22"/>
                <w:szCs w:val="28"/>
                <w:vertAlign w:val="subscript"/>
              </w:rPr>
              <w:t>1</w:t>
            </w:r>
            <w:r>
              <w:rPr>
                <w:rFonts w:ascii="Times New Roman" w:hAnsi="Times New Roman"/>
                <w:sz w:val="22"/>
                <w:szCs w:val="28"/>
                <w:lang w:val="vi-VN"/>
              </w:rPr>
              <w:t>.</w:t>
            </w:r>
          </w:p>
        </w:tc>
        <w:tc>
          <w:tcPr>
            <w:tcW w:w="4644" w:type="dxa"/>
          </w:tcPr>
          <w:p>
            <w:pPr>
              <w:jc w:val="center"/>
              <w:rPr>
                <w:rFonts w:ascii="Times New Roman" w:hAnsi="Times New Roman"/>
                <w:b/>
                <w:sz w:val="26"/>
                <w:szCs w:val="26"/>
                <w:lang w:val="vi-VN"/>
              </w:rPr>
            </w:pPr>
            <w:r>
              <w:rPr>
                <w:rFonts w:ascii="Times New Roman" w:hAnsi="Times New Roman"/>
                <w:b/>
                <w:sz w:val="26"/>
                <w:szCs w:val="26"/>
                <w:lang w:val="vi-VN"/>
              </w:rPr>
              <w:t xml:space="preserve">TM. </w:t>
            </w:r>
            <w:r>
              <w:rPr>
                <w:rFonts w:ascii="Times New Roman" w:hAnsi="Times New Roman"/>
                <w:b/>
                <w:sz w:val="26"/>
                <w:szCs w:val="26"/>
                <w:lang w:val="en-GB"/>
              </w:rPr>
              <w:t>ỦY</w:t>
            </w:r>
            <w:r>
              <w:rPr>
                <w:rFonts w:ascii="Times New Roman" w:hAnsi="Times New Roman"/>
                <w:b/>
                <w:sz w:val="26"/>
                <w:szCs w:val="26"/>
                <w:lang w:val="vi-VN"/>
              </w:rPr>
              <w:t xml:space="preserve"> BAN NHÂN DÂN</w:t>
            </w:r>
          </w:p>
          <w:p>
            <w:pPr>
              <w:jc w:val="center"/>
              <w:rPr>
                <w:rFonts w:ascii="Times New Roman" w:hAnsi="Times New Roman"/>
                <w:b/>
                <w:sz w:val="26"/>
                <w:szCs w:val="26"/>
                <w:lang w:val="en-GB"/>
              </w:rPr>
            </w:pPr>
            <w:r>
              <w:rPr>
                <w:rFonts w:ascii="Times New Roman" w:hAnsi="Times New Roman"/>
                <w:b/>
                <w:sz w:val="26"/>
                <w:szCs w:val="26"/>
                <w:lang w:val="en-GB"/>
              </w:rPr>
              <w:t xml:space="preserve">KT. </w:t>
            </w:r>
            <w:r>
              <w:rPr>
                <w:rFonts w:ascii="Times New Roman" w:hAnsi="Times New Roman"/>
                <w:b/>
                <w:sz w:val="26"/>
                <w:szCs w:val="26"/>
                <w:lang w:val="vi-VN"/>
              </w:rPr>
              <w:t>CHỦ TỊCH</w:t>
            </w:r>
          </w:p>
          <w:p>
            <w:pPr>
              <w:jc w:val="center"/>
              <w:rPr>
                <w:rFonts w:ascii="Times New Roman" w:hAnsi="Times New Roman"/>
                <w:b/>
                <w:sz w:val="26"/>
                <w:szCs w:val="26"/>
                <w:lang w:val="en-GB"/>
              </w:rPr>
            </w:pPr>
            <w:r>
              <w:rPr>
                <w:rFonts w:ascii="Times New Roman" w:hAnsi="Times New Roman"/>
                <w:b/>
                <w:sz w:val="26"/>
                <w:szCs w:val="26"/>
                <w:lang w:val="en-GB"/>
              </w:rPr>
              <w:t>PHÓ CHỦ TỊCH</w:t>
            </w:r>
          </w:p>
          <w:p>
            <w:pPr>
              <w:jc w:val="center"/>
              <w:rPr>
                <w:rFonts w:ascii="Times New Roman" w:hAnsi="Times New Roman"/>
                <w:b/>
                <w:sz w:val="52"/>
                <w:szCs w:val="52"/>
              </w:rPr>
            </w:pPr>
          </w:p>
          <w:p>
            <w:pPr>
              <w:jc w:val="center"/>
              <w:rPr>
                <w:rFonts w:ascii="Times New Roman" w:hAnsi="Times New Roman"/>
                <w:b/>
                <w:sz w:val="12"/>
                <w:szCs w:val="28"/>
              </w:rPr>
            </w:pPr>
          </w:p>
          <w:p>
            <w:pPr>
              <w:jc w:val="center"/>
              <w:rPr>
                <w:rFonts w:ascii="Times New Roman" w:hAnsi="Times New Roman"/>
                <w:b/>
                <w:sz w:val="12"/>
                <w:szCs w:val="28"/>
              </w:rPr>
            </w:pPr>
          </w:p>
          <w:p>
            <w:pPr>
              <w:jc w:val="center"/>
              <w:rPr>
                <w:rFonts w:ascii="Times New Roman" w:hAnsi="Times New Roman"/>
                <w:b/>
                <w:sz w:val="12"/>
                <w:szCs w:val="28"/>
              </w:rPr>
            </w:pPr>
          </w:p>
          <w:p>
            <w:pPr>
              <w:jc w:val="center"/>
              <w:rPr>
                <w:rFonts w:ascii="Times New Roman" w:hAnsi="Times New Roman"/>
                <w:b/>
                <w:sz w:val="12"/>
                <w:szCs w:val="28"/>
              </w:rPr>
            </w:pPr>
          </w:p>
          <w:p>
            <w:pPr>
              <w:jc w:val="center"/>
              <w:rPr>
                <w:rFonts w:ascii="Times New Roman" w:hAnsi="Times New Roman"/>
                <w:b/>
                <w:sz w:val="12"/>
                <w:szCs w:val="28"/>
              </w:rPr>
            </w:pPr>
          </w:p>
          <w:p>
            <w:pPr>
              <w:jc w:val="center"/>
              <w:rPr>
                <w:rFonts w:ascii="Times New Roman" w:hAnsi="Times New Roman"/>
                <w:b/>
                <w:sz w:val="12"/>
                <w:szCs w:val="28"/>
              </w:rPr>
            </w:pPr>
          </w:p>
          <w:p>
            <w:pPr>
              <w:jc w:val="center"/>
              <w:rPr>
                <w:rFonts w:ascii="Times New Roman" w:hAnsi="Times New Roman"/>
                <w:b/>
                <w:szCs w:val="28"/>
              </w:rPr>
            </w:pPr>
          </w:p>
        </w:tc>
      </w:tr>
    </w:tbl>
    <w:p>
      <w:pPr>
        <w:jc w:val="center"/>
        <w:rPr>
          <w:rFonts w:ascii="Times New Roman" w:hAnsi="Times New Roman"/>
          <w:b/>
          <w:sz w:val="2"/>
          <w:szCs w:val="28"/>
        </w:rPr>
      </w:pPr>
    </w:p>
    <w:sectPr>
      <w:headerReference w:type="even" r:id="rId10"/>
      <w:headerReference w:type="default" r:id="rId11"/>
      <w:footerReference w:type="even" r:id="rId12"/>
      <w:footerReference w:type="default" r:id="rId13"/>
      <w:pgSz w:w="11907" w:h="16840" w:code="9"/>
      <w:pgMar w:top="1134" w:right="1134" w:bottom="1134" w:left="1701" w:header="567" w:footer="7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FootnoteText"/>
      </w:pPr>
      <w:r>
        <w:rPr>
          <w:rStyle w:val="FootnoteReference"/>
        </w:rPr>
        <w:footnoteRef/>
      </w:r>
      <w:r>
        <w:t xml:space="preserve"> </w:t>
      </w:r>
      <w:r>
        <w:rPr>
          <w:rFonts w:ascii="Times New Roman" w:hAnsi="Times New Roman"/>
          <w:i/>
          <w:iCs/>
          <w:szCs w:val="28"/>
          <w:shd w:val="clear" w:color="auto" w:fill="FFFFFF"/>
        </w:rPr>
        <w:t>Văn bản số 210/HĐND-KTNS ngày 22/5/2025 của Hội đồng nhân dân tỉnh về việc áp dụng trình tự, thủ tục rút gọn và đăng ký xây dựng Nghị quyết quy phạm pháp luật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framePr w:wrap="around" w:vAnchor="text" w:hAnchor="margin" w:xAlign="center"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5</w:t>
    </w:r>
    <w:r>
      <w:rPr>
        <w:rStyle w:val="PageNumber"/>
        <w:rFonts w:ascii="Times New Roman" w:hAnsi="Times New Roman"/>
      </w:rPr>
      <w:fldChar w:fldCharType="end"/>
    </w:r>
  </w:p>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DAB541-8114-4229-89A9-1E651E2D4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szCs w:val="24"/>
      <w:lang w:val="en-US" w:eastAsia="en-US"/>
    </w:rPr>
  </w:style>
  <w:style w:type="paragraph" w:styleId="Heading1">
    <w:name w:val="heading 1"/>
    <w:basedOn w:val="Normal"/>
    <w:next w:val="Normal"/>
    <w:link w:val="Heading1Char"/>
    <w:qFormat/>
    <w:pPr>
      <w:keepNext/>
      <w:jc w:val="center"/>
      <w:outlineLvl w:val="0"/>
    </w:pPr>
    <w:rPr>
      <w:b/>
      <w:szCs w:val="20"/>
    </w:rPr>
  </w:style>
  <w:style w:type="paragraph" w:styleId="Heading2">
    <w:name w:val="heading 2"/>
    <w:basedOn w:val="Normal"/>
    <w:next w:val="Normal"/>
    <w:link w:val="Heading2Char"/>
    <w:qFormat/>
    <w:pPr>
      <w:keepNext/>
      <w:jc w:val="center"/>
      <w:outlineLvl w:val="1"/>
    </w:pPr>
    <w:rPr>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VnTime" w:hAnsi=".VnTime"/>
      <w:sz w:val="28"/>
      <w:szCs w:val="24"/>
      <w:lang w:val="en-US" w:eastAsia="en-US"/>
    </w:rPr>
  </w:style>
  <w:style w:type="character" w:styleId="Emphasis">
    <w:name w:val="Emphasis"/>
    <w:qFormat/>
    <w:rPr>
      <w:i/>
      <w:iCs/>
    </w:rPr>
  </w:style>
  <w:style w:type="character" w:customStyle="1" w:styleId="Vnbnnidung">
    <w:name w:val="Văn bản nội dung_"/>
    <w:link w:val="Vnbnnidung0"/>
    <w:uiPriority w:val="99"/>
    <w:rPr>
      <w:sz w:val="26"/>
      <w:szCs w:val="26"/>
      <w:shd w:val="clear" w:color="auto" w:fill="FFFFFF"/>
    </w:rPr>
  </w:style>
  <w:style w:type="character" w:customStyle="1" w:styleId="Vnbnnidung2">
    <w:name w:val="Văn bản nội dung (2)_"/>
    <w:link w:val="Vnbnnidung20"/>
    <w:uiPriority w:val="99"/>
    <w:rPr>
      <w:shd w:val="clear" w:color="auto" w:fill="FFFFFF"/>
    </w:rPr>
  </w:style>
  <w:style w:type="paragraph" w:customStyle="1" w:styleId="Vnbnnidung0">
    <w:name w:val="Văn bản nội dung"/>
    <w:basedOn w:val="Normal"/>
    <w:link w:val="Vnbnnidung"/>
    <w:uiPriority w:val="99"/>
    <w:pPr>
      <w:widowControl w:val="0"/>
      <w:shd w:val="clear" w:color="auto" w:fill="FFFFFF"/>
      <w:spacing w:after="40" w:line="259" w:lineRule="auto"/>
      <w:ind w:firstLine="400"/>
    </w:pPr>
    <w:rPr>
      <w:rFonts w:ascii="Times New Roman" w:hAnsi="Times New Roman"/>
      <w:sz w:val="26"/>
      <w:szCs w:val="26"/>
    </w:rPr>
  </w:style>
  <w:style w:type="paragraph" w:customStyle="1" w:styleId="Vnbnnidung20">
    <w:name w:val="Văn bản nội dung (2)"/>
    <w:basedOn w:val="Normal"/>
    <w:link w:val="Vnbnnidung2"/>
    <w:uiPriority w:val="99"/>
    <w:pPr>
      <w:widowControl w:val="0"/>
      <w:shd w:val="clear" w:color="auto" w:fill="FFFFFF"/>
      <w:spacing w:after="20" w:line="271" w:lineRule="auto"/>
    </w:pPr>
    <w:rPr>
      <w:rFonts w:ascii="Times New Roman" w:hAnsi="Times New Roman"/>
      <w:sz w:val="20"/>
      <w:szCs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character" w:customStyle="1" w:styleId="a">
    <w:name w:val="???????? ?????_"/>
    <w:link w:val="1"/>
    <w:uiPriority w:val="99"/>
    <w:locked/>
    <w:rPr>
      <w:shd w:val="clear" w:color="auto" w:fill="FFFFFF"/>
    </w:rPr>
  </w:style>
  <w:style w:type="paragraph" w:customStyle="1" w:styleId="1">
    <w:name w:val="???????? ?????1"/>
    <w:basedOn w:val="Normal"/>
    <w:link w:val="a"/>
    <w:uiPriority w:val="99"/>
    <w:pPr>
      <w:widowControl w:val="0"/>
      <w:shd w:val="clear" w:color="auto" w:fill="FFFFFF"/>
      <w:spacing w:line="274" w:lineRule="exact"/>
    </w:pPr>
    <w:rPr>
      <w:rFonts w:ascii="Times New Roman" w:hAnsi="Times New Roman"/>
      <w:sz w:val="20"/>
      <w:szCs w:val="20"/>
    </w:rPr>
  </w:style>
  <w:style w:type="character" w:customStyle="1" w:styleId="3">
    <w:name w:val="???????? ????? (3)_"/>
    <w:link w:val="30"/>
    <w:uiPriority w:val="99"/>
    <w:locked/>
    <w:rPr>
      <w:b/>
      <w:bCs/>
      <w:sz w:val="26"/>
      <w:szCs w:val="26"/>
      <w:shd w:val="clear" w:color="auto" w:fill="FFFFFF"/>
    </w:rPr>
  </w:style>
  <w:style w:type="paragraph" w:customStyle="1" w:styleId="30">
    <w:name w:val="???????? ????? (3)"/>
    <w:basedOn w:val="Normal"/>
    <w:link w:val="3"/>
    <w:uiPriority w:val="99"/>
    <w:pPr>
      <w:widowControl w:val="0"/>
      <w:shd w:val="clear" w:color="auto" w:fill="FFFFFF"/>
      <w:spacing w:line="317" w:lineRule="exact"/>
      <w:jc w:val="center"/>
    </w:pPr>
    <w:rPr>
      <w:rFonts w:ascii="Times New Roman" w:hAnsi="Times New Roman"/>
      <w:b/>
      <w:bCs/>
      <w:sz w:val="26"/>
      <w:szCs w:val="26"/>
    </w:rPr>
  </w:style>
  <w:style w:type="paragraph" w:styleId="ListParagraph">
    <w:name w:val="List Paragraph"/>
    <w:basedOn w:val="Normal"/>
    <w:uiPriority w:val="34"/>
    <w:qFormat/>
    <w:pPr>
      <w:ind w:left="720"/>
    </w:pPr>
  </w:style>
  <w:style w:type="paragraph" w:styleId="NormalWeb">
    <w:name w:val="Normal (Web)"/>
    <w:aliases w:val="Normal (Web) Char"/>
    <w:basedOn w:val="Normal"/>
    <w:link w:val="NormalWebChar1"/>
    <w:pPr>
      <w:spacing w:before="100" w:beforeAutospacing="1" w:after="100" w:afterAutospacing="1"/>
    </w:pPr>
    <w:rPr>
      <w:rFonts w:ascii="Times New Roman" w:hAnsi="Times New Roman"/>
      <w:sz w:val="24"/>
    </w:rPr>
  </w:style>
  <w:style w:type="character" w:customStyle="1" w:styleId="NormalWebChar1">
    <w:name w:val="Normal (Web) Char1"/>
    <w:aliases w:val="Normal (Web) Char Char"/>
    <w:link w:val="NormalWeb"/>
    <w:rPr>
      <w:sz w:val="24"/>
      <w:szCs w:val="24"/>
    </w:rPr>
  </w:style>
  <w:style w:type="character" w:customStyle="1" w:styleId="HeaderChar">
    <w:name w:val="Header Char"/>
    <w:link w:val="Header"/>
    <w:uiPriority w:val="99"/>
    <w:rPr>
      <w:rFonts w:ascii=".VnTime" w:hAnsi=".VnTime"/>
      <w:sz w:val="28"/>
      <w:szCs w:val="24"/>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next w:val="Normal"/>
    <w:autoRedefine/>
    <w:semiHidden/>
    <w:pPr>
      <w:spacing w:after="160" w:line="240" w:lineRule="exact"/>
    </w:pPr>
    <w:rPr>
      <w:rFonts w:ascii="Times New Roman" w:hAnsi="Times New Roman"/>
      <w:szCs w:val="22"/>
    </w:rPr>
  </w:style>
  <w:style w:type="numbering" w:customStyle="1" w:styleId="NoList1">
    <w:name w:val="No List1"/>
    <w:next w:val="NoList"/>
    <w:semiHidden/>
  </w:style>
  <w:style w:type="character" w:customStyle="1" w:styleId="Heading1Char">
    <w:name w:val="Heading 1 Char"/>
    <w:link w:val="Heading1"/>
    <w:rPr>
      <w:rFonts w:ascii=".VnTime" w:hAnsi=".VnTime"/>
      <w:b/>
      <w:sz w:val="28"/>
    </w:rPr>
  </w:style>
  <w:style w:type="character" w:customStyle="1" w:styleId="Heading2Char">
    <w:name w:val="Heading 2 Char"/>
    <w:link w:val="Heading2"/>
    <w:rPr>
      <w:rFonts w:ascii=".VnTime" w:hAnsi=".VnTime"/>
      <w:i/>
      <w:sz w:val="28"/>
    </w:rPr>
  </w:style>
  <w:style w:type="numbering" w:customStyle="1" w:styleId="NoList11">
    <w:name w:val="No List11"/>
    <w:next w:val="NoList"/>
    <w:semiHidden/>
  </w:style>
  <w:style w:type="numbering" w:customStyle="1" w:styleId="NoList2">
    <w:name w:val="No List2"/>
    <w:next w:val="NoList"/>
    <w:semiHidden/>
  </w:style>
  <w:style w:type="numbering" w:customStyle="1" w:styleId="NoList3">
    <w:name w:val="No List3"/>
    <w:next w:val="NoList"/>
    <w:semiHidden/>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rFonts w:ascii=".VnTime" w:hAnsi=".VnTime"/>
      <w:lang w:val="en-US"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VnTime" w:hAnsi=".VnTime"/>
      <w:b/>
      <w:bCs/>
      <w:lang w:val="en-US" w:eastAsia="en-US"/>
    </w:rPr>
  </w:style>
  <w:style w:type="paragraph" w:styleId="FootnoteText">
    <w:name w:val="footnote text"/>
    <w:basedOn w:val="Normal"/>
    <w:link w:val="FootnoteTextChar"/>
    <w:semiHidden/>
    <w:unhideWhenUsed/>
    <w:rPr>
      <w:sz w:val="20"/>
      <w:szCs w:val="20"/>
    </w:rPr>
  </w:style>
  <w:style w:type="character" w:customStyle="1" w:styleId="FootnoteTextChar">
    <w:name w:val="Footnote Text Char"/>
    <w:basedOn w:val="DefaultParagraphFont"/>
    <w:link w:val="FootnoteText"/>
    <w:semiHidden/>
    <w:rPr>
      <w:rFonts w:ascii=".VnTime" w:hAnsi=".VnTime"/>
      <w:lang w:val="en-US" w:eastAsia="en-US"/>
    </w:r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nhideWhenUsed/>
    <w:rPr>
      <w:color w:val="0000FF" w:themeColor="hyperlink"/>
      <w:u w:val="single"/>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254246">
      <w:bodyDiv w:val="1"/>
      <w:marLeft w:val="0"/>
      <w:marRight w:val="0"/>
      <w:marTop w:val="0"/>
      <w:marBottom w:val="0"/>
      <w:divBdr>
        <w:top w:val="none" w:sz="0" w:space="0" w:color="auto"/>
        <w:left w:val="none" w:sz="0" w:space="0" w:color="auto"/>
        <w:bottom w:val="none" w:sz="0" w:space="0" w:color="auto"/>
        <w:right w:val="none" w:sz="0" w:space="0" w:color="auto"/>
      </w:divBdr>
    </w:div>
    <w:div w:id="597176372">
      <w:bodyDiv w:val="1"/>
      <w:marLeft w:val="0"/>
      <w:marRight w:val="0"/>
      <w:marTop w:val="0"/>
      <w:marBottom w:val="0"/>
      <w:divBdr>
        <w:top w:val="none" w:sz="0" w:space="0" w:color="auto"/>
        <w:left w:val="none" w:sz="0" w:space="0" w:color="auto"/>
        <w:bottom w:val="none" w:sz="0" w:space="0" w:color="auto"/>
        <w:right w:val="none" w:sz="0" w:space="0" w:color="auto"/>
      </w:divBdr>
    </w:div>
    <w:div w:id="1170408931">
      <w:bodyDiv w:val="1"/>
      <w:marLeft w:val="0"/>
      <w:marRight w:val="0"/>
      <w:marTop w:val="0"/>
      <w:marBottom w:val="0"/>
      <w:divBdr>
        <w:top w:val="none" w:sz="0" w:space="0" w:color="auto"/>
        <w:left w:val="none" w:sz="0" w:space="0" w:color="auto"/>
        <w:bottom w:val="none" w:sz="0" w:space="0" w:color="auto"/>
        <w:right w:val="none" w:sz="0" w:space="0" w:color="auto"/>
      </w:divBdr>
    </w:div>
    <w:div w:id="1221596788">
      <w:bodyDiv w:val="1"/>
      <w:marLeft w:val="0"/>
      <w:marRight w:val="0"/>
      <w:marTop w:val="0"/>
      <w:marBottom w:val="0"/>
      <w:divBdr>
        <w:top w:val="none" w:sz="0" w:space="0" w:color="auto"/>
        <w:left w:val="none" w:sz="0" w:space="0" w:color="auto"/>
        <w:bottom w:val="none" w:sz="0" w:space="0" w:color="auto"/>
        <w:right w:val="none" w:sz="0" w:space="0" w:color="auto"/>
      </w:divBdr>
    </w:div>
    <w:div w:id="153990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thong-tu-02-2017-tt-btc-huong-dan-quan-ly-kinh-phi-su-nghiep-moi-truong-339307.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thuvienphapluat.vn/van-ban/tai-chinh-nha-nuoc/thong-tu-02-2017-tt-btc-huong-dan-quan-ly-kinh-phi-su-nghiep-moi-truong-339307.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tai-chinh-nha-nuoc/thong-tu-02-2017-tt-btc-huong-dan-quan-ly-kinh-phi-su-nghiep-moi-truong-339307.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CFB52-3981-4A99-A4BA-E07FA5350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1627</Words>
  <Characters>9277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Phòng Nội chính - UBND tỉnh Hà Tĩnh</vt:lpstr>
    </vt:vector>
  </TitlesOfParts>
  <Company>- ETH0 -</Company>
  <LinksUpToDate>false</LinksUpToDate>
  <CharactersWithSpaces>10883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Nội chính - UBND tỉnh Hà Tĩnh</dc:title>
  <dc:creator>Thanh An</dc:creator>
  <cp:lastModifiedBy>Administrator</cp:lastModifiedBy>
  <cp:revision>2</cp:revision>
  <cp:lastPrinted>2025-02-11T01:59:00Z</cp:lastPrinted>
  <dcterms:created xsi:type="dcterms:W3CDTF">2025-05-30T02:42:00Z</dcterms:created>
  <dcterms:modified xsi:type="dcterms:W3CDTF">2025-05-30T02:42:00Z</dcterms:modified>
</cp:coreProperties>
</file>